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F3B7" w14:textId="77777777" w:rsidR="00485B62" w:rsidRPr="004B7BF1" w:rsidRDefault="00485B62" w:rsidP="00A65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5507">
        <w:rPr>
          <w:rFonts w:ascii="Times New Roman" w:hAnsi="Times New Roman" w:cs="Times New Roman"/>
          <w:sz w:val="20"/>
          <w:szCs w:val="20"/>
          <w:lang w:val="uk-UA"/>
        </w:rPr>
        <w:t>УДК</w:t>
      </w:r>
      <w:r w:rsidRPr="004B7BF1">
        <w:rPr>
          <w:rFonts w:ascii="Times New Roman" w:hAnsi="Times New Roman" w:cs="Times New Roman"/>
          <w:sz w:val="20"/>
          <w:szCs w:val="20"/>
        </w:rPr>
        <w:t xml:space="preserve"> 656</w:t>
      </w:r>
      <w:r w:rsidRPr="00DF550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F5507" w:rsidRPr="00DF5507">
        <w:rPr>
          <w:rFonts w:ascii="Times New Roman" w:hAnsi="Times New Roman" w:cs="Times New Roman"/>
          <w:sz w:val="20"/>
          <w:szCs w:val="20"/>
          <w:lang w:val="uk-UA"/>
        </w:rPr>
        <w:t>027</w:t>
      </w:r>
    </w:p>
    <w:p w14:paraId="0D5FB87B" w14:textId="77777777" w:rsidR="00F87541" w:rsidRPr="00C76F60" w:rsidRDefault="00F87541" w:rsidP="00A651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C76F60">
        <w:rPr>
          <w:rFonts w:ascii="Times New Roman" w:hAnsi="Times New Roman" w:cs="Times New Roman"/>
          <w:b/>
          <w:lang w:val="uk-UA"/>
        </w:rPr>
        <w:t>Холошев Д.В.,</w:t>
      </w:r>
    </w:p>
    <w:p w14:paraId="2C350A0C" w14:textId="77777777" w:rsidR="00485B62" w:rsidRPr="00C76F60" w:rsidRDefault="00F87541" w:rsidP="00A651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C76F60">
        <w:rPr>
          <w:rFonts w:ascii="Times New Roman" w:hAnsi="Times New Roman" w:cs="Times New Roman"/>
          <w:b/>
          <w:lang w:val="uk-UA"/>
        </w:rPr>
        <w:t>Яловенко Е.В.,</w:t>
      </w:r>
    </w:p>
    <w:p w14:paraId="6C03ECE2" w14:textId="00269772" w:rsidR="00485B62" w:rsidRDefault="00DF2E29" w:rsidP="00A651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F2E29">
        <w:rPr>
          <w:rFonts w:ascii="Times New Roman" w:hAnsi="Times New Roman" w:cs="Times New Roman"/>
          <w:b/>
          <w:sz w:val="20"/>
          <w:szCs w:val="20"/>
          <w:lang w:val="uk-UA"/>
        </w:rPr>
        <w:t>Мірошникова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М.В.</w:t>
      </w:r>
    </w:p>
    <w:p w14:paraId="77C92951" w14:textId="77777777" w:rsidR="00DF2E29" w:rsidRPr="004B7BF1" w:rsidRDefault="00DF2E29" w:rsidP="00A651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DA39163" w14:textId="13BE1A3C" w:rsidR="00485B62" w:rsidRPr="00C76F60" w:rsidRDefault="00485B62" w:rsidP="00A651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C76F60">
        <w:rPr>
          <w:rFonts w:ascii="Times New Roman" w:hAnsi="Times New Roman" w:cs="Times New Roman"/>
          <w:b/>
          <w:lang w:val="uk-UA"/>
        </w:rPr>
        <w:t xml:space="preserve">м. </w:t>
      </w:r>
      <w:r w:rsidR="00DF2E29">
        <w:rPr>
          <w:rFonts w:ascii="Times New Roman" w:hAnsi="Times New Roman" w:cs="Times New Roman"/>
          <w:b/>
          <w:lang w:val="uk-UA"/>
        </w:rPr>
        <w:t>Київ</w:t>
      </w:r>
    </w:p>
    <w:p w14:paraId="370D6366" w14:textId="77777777" w:rsidR="00485B62" w:rsidRPr="004B7BF1" w:rsidRDefault="00485B62" w:rsidP="00A651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7AB1134" w14:textId="77777777" w:rsidR="00E5661D" w:rsidRPr="004B7BF1" w:rsidRDefault="00FB6059" w:rsidP="00A651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7BF1">
        <w:rPr>
          <w:rFonts w:ascii="Times New Roman" w:hAnsi="Times New Roman" w:cs="Times New Roman"/>
          <w:b/>
          <w:sz w:val="20"/>
          <w:szCs w:val="20"/>
          <w:lang w:val="uk-UA"/>
        </w:rPr>
        <w:t>ДОСЛІДЖЕННЯ ПИТАНЬ БЕЗПЕКИ ШВИДКІСНОГО РУХУ ЗАЛІЗНИЧНОГО ТРАНСПОРТУ</w:t>
      </w:r>
    </w:p>
    <w:p w14:paraId="18BFC6DE" w14:textId="77777777" w:rsidR="00086CC2" w:rsidRPr="00485B62" w:rsidRDefault="00086CC2" w:rsidP="00A6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03CF75C" w14:textId="77777777" w:rsidR="00485B62" w:rsidRPr="00A056F4" w:rsidRDefault="00485B62" w:rsidP="00A056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56F4">
        <w:rPr>
          <w:rFonts w:ascii="Times New Roman" w:hAnsi="Times New Roman" w:cs="Times New Roman"/>
          <w:sz w:val="18"/>
          <w:szCs w:val="18"/>
          <w:lang w:val="uk-UA"/>
        </w:rPr>
        <w:t>У статті</w:t>
      </w:r>
      <w:r w:rsidR="00A056F4">
        <w:rPr>
          <w:rFonts w:ascii="Times New Roman" w:hAnsi="Times New Roman" w:cs="Times New Roman"/>
          <w:sz w:val="18"/>
          <w:szCs w:val="18"/>
          <w:lang w:val="uk-UA"/>
        </w:rPr>
        <w:t xml:space="preserve"> наведено дані щодо Європейської системи швидкісного руху, її довжини та швидкісних режимів.</w:t>
      </w:r>
      <w:r w:rsidRPr="00A056F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056F4">
        <w:rPr>
          <w:rFonts w:ascii="Times New Roman" w:hAnsi="Times New Roman" w:cs="Times New Roman"/>
          <w:sz w:val="18"/>
          <w:szCs w:val="18"/>
          <w:lang w:val="uk-UA"/>
        </w:rPr>
        <w:t xml:space="preserve">Виконано аналіз статистики щодо аварійності на високошвидкісних магістралях Європи та Азії. </w:t>
      </w:r>
      <w:r w:rsidR="00A056F4" w:rsidRPr="00A056F4">
        <w:rPr>
          <w:rFonts w:ascii="Times New Roman" w:hAnsi="Times New Roman" w:cs="Times New Roman"/>
          <w:sz w:val="18"/>
          <w:szCs w:val="18"/>
          <w:lang w:val="uk-UA"/>
        </w:rPr>
        <w:t>Розглянуто особливості системи менеджменту безпеки руху (СМБР) Європейських країн. Розглядаються два напрямки зниження аварійності: автоматизація управління рухом поїздів на основі цифрового радіоканалу і впровадження менеджменту безпеки руху як частини системи залізничного бізнесу</w:t>
      </w:r>
      <w:r w:rsidR="00A056F4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0DEA4D8E" w14:textId="77777777" w:rsidR="00485B62" w:rsidRDefault="00485B62" w:rsidP="00A65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56F4">
        <w:rPr>
          <w:rFonts w:ascii="Times New Roman" w:hAnsi="Times New Roman" w:cs="Times New Roman"/>
          <w:b/>
          <w:sz w:val="18"/>
          <w:szCs w:val="18"/>
          <w:lang w:val="uk-UA"/>
        </w:rPr>
        <w:t>Ключові слова:</w:t>
      </w:r>
      <w:r w:rsidRPr="00A056F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056F4">
        <w:rPr>
          <w:rFonts w:ascii="Times New Roman" w:hAnsi="Times New Roman" w:cs="Times New Roman"/>
          <w:sz w:val="18"/>
          <w:szCs w:val="18"/>
          <w:lang w:val="uk-UA"/>
        </w:rPr>
        <w:t>Високошвидкісна магістраль, аварійність, система менеджменту безпеки руху, автоматизація управління рухом</w:t>
      </w:r>
      <w:r w:rsidRPr="00A056F4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70ADFED9" w14:textId="77777777" w:rsidR="00485B62" w:rsidRPr="00485B62" w:rsidRDefault="00485B62" w:rsidP="00A65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16C8DC" w14:textId="77777777" w:rsidR="00EA683E" w:rsidRPr="00EA683E" w:rsidRDefault="00EA683E" w:rsidP="00EA683E">
      <w:pPr>
        <w:spacing w:after="0" w:line="240" w:lineRule="auto"/>
        <w:ind w:firstLine="425"/>
        <w:jc w:val="both"/>
        <w:rPr>
          <w:rStyle w:val="fontstyle01"/>
          <w:sz w:val="20"/>
          <w:szCs w:val="20"/>
          <w:lang w:val="uk-UA"/>
        </w:rPr>
      </w:pPr>
      <w:r w:rsidRPr="00EA683E">
        <w:rPr>
          <w:rStyle w:val="fontstyle01"/>
          <w:sz w:val="20"/>
          <w:szCs w:val="20"/>
          <w:lang w:val="uk-UA"/>
        </w:rPr>
        <w:t>У всі часи швидкість пересування була тим інтегруючим показником, який характеризував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розвиток пасажирського транспорту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і в цілому рівень інженерно-технічного і економічного розвиткусуспільства. Перший рекорд швидкості,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офіційно зафіксований на залізниці Великобританії, -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38,6 км / год, паровоз «Ракета», 8 жовтня 1829 року. І ось через 178 років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швидкість збільшилася в 15 разів.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3 квітня 2007 французький потяг TGV на 72-км ділянці залізниці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дороги між Парижем і Страсбурго</w:t>
      </w:r>
      <w:r w:rsidR="00CA6BDE">
        <w:rPr>
          <w:rStyle w:val="fontstyle01"/>
          <w:sz w:val="20"/>
          <w:szCs w:val="20"/>
          <w:lang w:val="uk-UA"/>
        </w:rPr>
        <w:t>м розвинув швидкість 574,7 км</w:t>
      </w:r>
      <w:r w:rsidRPr="00EA683E">
        <w:rPr>
          <w:rStyle w:val="fontstyle01"/>
          <w:sz w:val="20"/>
          <w:szCs w:val="20"/>
          <w:lang w:val="uk-UA"/>
        </w:rPr>
        <w:t>/</w:t>
      </w:r>
      <w:r w:rsidR="00CA6BDE">
        <w:rPr>
          <w:rStyle w:val="fontstyle01"/>
          <w:sz w:val="20"/>
          <w:szCs w:val="20"/>
          <w:lang w:val="uk-UA"/>
        </w:rPr>
        <w:t>год</w:t>
      </w:r>
      <w:r w:rsidR="007B7335">
        <w:rPr>
          <w:rStyle w:val="fontstyle01"/>
          <w:sz w:val="20"/>
          <w:szCs w:val="20"/>
          <w:lang w:val="uk-UA"/>
        </w:rPr>
        <w:t xml:space="preserve"> </w:t>
      </w:r>
      <w:r w:rsidR="007B7335" w:rsidRPr="007B7335">
        <w:rPr>
          <w:rStyle w:val="fontstyle01"/>
          <w:sz w:val="20"/>
          <w:szCs w:val="20"/>
          <w:lang w:val="uk-UA"/>
        </w:rPr>
        <w:t>[</w:t>
      </w:r>
      <w:r w:rsidR="007B7335">
        <w:rPr>
          <w:rStyle w:val="fontstyle01"/>
          <w:sz w:val="20"/>
          <w:szCs w:val="20"/>
          <w:lang w:val="uk-UA"/>
        </w:rPr>
        <w:t>1</w:t>
      </w:r>
      <w:r w:rsidR="007B7335" w:rsidRPr="007B7335">
        <w:rPr>
          <w:rStyle w:val="fontstyle01"/>
          <w:sz w:val="20"/>
          <w:szCs w:val="20"/>
          <w:lang w:val="uk-UA"/>
        </w:rPr>
        <w:t>]</w:t>
      </w:r>
      <w:r w:rsidRPr="00EA683E">
        <w:rPr>
          <w:rStyle w:val="fontstyle01"/>
          <w:sz w:val="20"/>
          <w:szCs w:val="20"/>
          <w:lang w:val="uk-UA"/>
        </w:rPr>
        <w:t>.</w:t>
      </w:r>
    </w:p>
    <w:p w14:paraId="2B248DD8" w14:textId="77777777" w:rsidR="00AC5FFE" w:rsidRDefault="00EA683E" w:rsidP="00EA683E">
      <w:pPr>
        <w:spacing w:after="0" w:line="240" w:lineRule="auto"/>
        <w:ind w:firstLine="425"/>
        <w:jc w:val="both"/>
        <w:rPr>
          <w:rStyle w:val="fontstyle01"/>
          <w:sz w:val="20"/>
          <w:szCs w:val="20"/>
          <w:lang w:val="uk-UA"/>
        </w:rPr>
      </w:pPr>
      <w:r w:rsidRPr="00EA683E">
        <w:rPr>
          <w:rStyle w:val="fontstyle01"/>
          <w:sz w:val="20"/>
          <w:szCs w:val="20"/>
          <w:lang w:val="uk-UA"/>
        </w:rPr>
        <w:t>Сьогодні в світі введені в експлуатацію високошвидкісні магістралі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(В</w:t>
      </w:r>
      <w:r w:rsidR="00CA6BDE">
        <w:rPr>
          <w:rStyle w:val="fontstyle01"/>
          <w:sz w:val="20"/>
          <w:szCs w:val="20"/>
          <w:lang w:val="uk-UA"/>
        </w:rPr>
        <w:t>Ш</w:t>
      </w:r>
      <w:r w:rsidRPr="00EA683E">
        <w:rPr>
          <w:rStyle w:val="fontstyle01"/>
          <w:sz w:val="20"/>
          <w:szCs w:val="20"/>
          <w:lang w:val="uk-UA"/>
        </w:rPr>
        <w:t>М), на яких поїзди розвивають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 xml:space="preserve">швидкість до 350 </w:t>
      </w:r>
      <w:r w:rsidR="00CA6BDE">
        <w:rPr>
          <w:rStyle w:val="fontstyle01"/>
          <w:sz w:val="20"/>
          <w:szCs w:val="20"/>
          <w:lang w:val="uk-UA"/>
        </w:rPr>
        <w:t>км</w:t>
      </w:r>
      <w:r w:rsidR="00CA6BDE" w:rsidRPr="00EA683E">
        <w:rPr>
          <w:rStyle w:val="fontstyle01"/>
          <w:sz w:val="20"/>
          <w:szCs w:val="20"/>
          <w:lang w:val="uk-UA"/>
        </w:rPr>
        <w:t>/</w:t>
      </w:r>
      <w:r w:rsidR="00CA6BDE">
        <w:rPr>
          <w:rStyle w:val="fontstyle01"/>
          <w:sz w:val="20"/>
          <w:szCs w:val="20"/>
          <w:lang w:val="uk-UA"/>
        </w:rPr>
        <w:t>год</w:t>
      </w:r>
      <w:r w:rsidRPr="00EA683E">
        <w:rPr>
          <w:rStyle w:val="fontstyle01"/>
          <w:sz w:val="20"/>
          <w:szCs w:val="20"/>
          <w:lang w:val="uk-UA"/>
        </w:rPr>
        <w:t>. Найбільшу довжину В</w:t>
      </w:r>
      <w:r w:rsidR="00CA6BDE">
        <w:rPr>
          <w:rStyle w:val="fontstyle01"/>
          <w:sz w:val="20"/>
          <w:szCs w:val="20"/>
          <w:lang w:val="uk-UA"/>
        </w:rPr>
        <w:t>Ш</w:t>
      </w:r>
      <w:r w:rsidRPr="00EA683E">
        <w:rPr>
          <w:rStyle w:val="fontstyle01"/>
          <w:sz w:val="20"/>
          <w:szCs w:val="20"/>
          <w:lang w:val="uk-UA"/>
        </w:rPr>
        <w:t>М в Європі мають Іспанія, Франція, Німеччина, Італія. Найбільш швидко розвиваються високошвидкісні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перевезення в Іспанії та Китаї. Загальна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довжина В</w:t>
      </w:r>
      <w:r w:rsidR="00CA6BDE">
        <w:rPr>
          <w:rStyle w:val="fontstyle01"/>
          <w:sz w:val="20"/>
          <w:szCs w:val="20"/>
          <w:lang w:val="uk-UA"/>
        </w:rPr>
        <w:t>Ш</w:t>
      </w:r>
      <w:r w:rsidRPr="00EA683E">
        <w:rPr>
          <w:rStyle w:val="fontstyle01"/>
          <w:sz w:val="20"/>
          <w:szCs w:val="20"/>
          <w:lang w:val="uk-UA"/>
        </w:rPr>
        <w:t>М становить близько 22 тис. км,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з них в Європі експлуатується понад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 xml:space="preserve">6 тис. </w:t>
      </w:r>
      <w:r w:rsidR="00CA6BDE">
        <w:rPr>
          <w:rStyle w:val="fontstyle01"/>
          <w:sz w:val="20"/>
          <w:szCs w:val="20"/>
          <w:lang w:val="uk-UA"/>
        </w:rPr>
        <w:t>км, а полігон, де об</w:t>
      </w:r>
      <w:r w:rsidRPr="00EA683E">
        <w:rPr>
          <w:rStyle w:val="fontstyle01"/>
          <w:sz w:val="20"/>
          <w:szCs w:val="20"/>
          <w:lang w:val="uk-UA"/>
        </w:rPr>
        <w:t>ертаються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високошвидкісні поїзди з урахуванням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реконструйованих залізниць,</w:t>
      </w:r>
      <w:r w:rsidR="00CA6BDE">
        <w:rPr>
          <w:rStyle w:val="fontstyle01"/>
          <w:sz w:val="20"/>
          <w:szCs w:val="20"/>
          <w:lang w:val="uk-UA"/>
        </w:rPr>
        <w:t xml:space="preserve"> </w:t>
      </w:r>
      <w:r w:rsidRPr="00EA683E">
        <w:rPr>
          <w:rStyle w:val="fontstyle01"/>
          <w:sz w:val="20"/>
          <w:szCs w:val="20"/>
          <w:lang w:val="uk-UA"/>
        </w:rPr>
        <w:t>становить понад 16 тис. км</w:t>
      </w:r>
      <w:r w:rsidR="007B7335">
        <w:rPr>
          <w:rStyle w:val="fontstyle01"/>
          <w:sz w:val="20"/>
          <w:szCs w:val="20"/>
          <w:lang w:val="uk-UA"/>
        </w:rPr>
        <w:t xml:space="preserve"> </w:t>
      </w:r>
      <w:r w:rsidR="007B7335" w:rsidRPr="007B7335">
        <w:rPr>
          <w:rStyle w:val="fontstyle01"/>
          <w:sz w:val="20"/>
          <w:szCs w:val="20"/>
          <w:lang w:val="uk-UA"/>
        </w:rPr>
        <w:t>[</w:t>
      </w:r>
      <w:r w:rsidR="007B7335">
        <w:rPr>
          <w:rStyle w:val="fontstyle01"/>
          <w:sz w:val="20"/>
          <w:szCs w:val="20"/>
          <w:lang w:val="uk-UA"/>
        </w:rPr>
        <w:t>1, 2</w:t>
      </w:r>
      <w:r w:rsidR="007B7335" w:rsidRPr="007B7335">
        <w:rPr>
          <w:rStyle w:val="fontstyle01"/>
          <w:sz w:val="20"/>
          <w:szCs w:val="20"/>
          <w:lang w:val="uk-UA"/>
        </w:rPr>
        <w:t>]</w:t>
      </w:r>
      <w:r w:rsidRPr="00EA683E">
        <w:rPr>
          <w:rStyle w:val="fontstyle01"/>
          <w:sz w:val="20"/>
          <w:szCs w:val="20"/>
          <w:lang w:val="uk-UA"/>
        </w:rPr>
        <w:t>.</w:t>
      </w:r>
    </w:p>
    <w:p w14:paraId="34625CDA" w14:textId="77777777" w:rsidR="00B20725" w:rsidRDefault="00B20725" w:rsidP="00B20725">
      <w:pPr>
        <w:spacing w:after="0" w:line="240" w:lineRule="auto"/>
        <w:ind w:firstLine="425"/>
        <w:jc w:val="both"/>
        <w:rPr>
          <w:rStyle w:val="fontstyle01"/>
          <w:sz w:val="20"/>
          <w:szCs w:val="20"/>
          <w:lang w:val="uk-UA"/>
        </w:rPr>
      </w:pPr>
      <w:r w:rsidRPr="00B20725">
        <w:rPr>
          <w:rStyle w:val="fontstyle01"/>
          <w:sz w:val="20"/>
          <w:szCs w:val="20"/>
          <w:lang w:val="uk-UA"/>
        </w:rPr>
        <w:t>Безпека експлуатації високошвидкісних магістралей, як і інших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видів залізничного транспорту,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пов'язана з дією двох груп об'єктивних факторів: відмовами технічних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систем і помилками людини. Негативний</w:t>
      </w:r>
      <w:r>
        <w:rPr>
          <w:rStyle w:val="fontstyle01"/>
          <w:sz w:val="20"/>
          <w:szCs w:val="20"/>
          <w:lang w:val="uk-UA"/>
        </w:rPr>
        <w:t xml:space="preserve"> вплив</w:t>
      </w:r>
      <w:r w:rsidRPr="00B20725">
        <w:rPr>
          <w:rStyle w:val="fontstyle01"/>
          <w:sz w:val="20"/>
          <w:szCs w:val="20"/>
          <w:lang w:val="uk-UA"/>
        </w:rPr>
        <w:t xml:space="preserve"> зазначених чинників виражається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в зниженні безпеки транспортної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системи і її готовності до надання перевізної послуги (експлуатаційної готовності). Для зменшення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дії цих факторів сучасними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системами технічного регулювання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безпеки руху на В</w:t>
      </w:r>
      <w:r>
        <w:rPr>
          <w:rStyle w:val="fontstyle01"/>
          <w:sz w:val="20"/>
          <w:szCs w:val="20"/>
          <w:lang w:val="uk-UA"/>
        </w:rPr>
        <w:t>Ш</w:t>
      </w:r>
      <w:r w:rsidRPr="00B20725">
        <w:rPr>
          <w:rStyle w:val="fontstyle01"/>
          <w:sz w:val="20"/>
          <w:szCs w:val="20"/>
          <w:lang w:val="uk-UA"/>
        </w:rPr>
        <w:t>М передбачені певні заходи.</w:t>
      </w:r>
      <w:r w:rsidR="00447CA7"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Вони засновані на аналізі ризику згідно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міжнародному стандарту IEC62278 (або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EN 50126 Комітету CENELEC), який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останні 20 років широко використовується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для забезпечення безпеки залізничних транспортних систем. Однак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з аналізу статистики аварійності В</w:t>
      </w:r>
      <w:r>
        <w:rPr>
          <w:rStyle w:val="fontstyle01"/>
          <w:sz w:val="20"/>
          <w:szCs w:val="20"/>
          <w:lang w:val="uk-UA"/>
        </w:rPr>
        <w:t>Ш</w:t>
      </w:r>
      <w:r w:rsidRPr="00B20725">
        <w:rPr>
          <w:rStyle w:val="fontstyle01"/>
          <w:sz w:val="20"/>
          <w:szCs w:val="20"/>
          <w:lang w:val="uk-UA"/>
        </w:rPr>
        <w:t>М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випливає, що практика застосування цього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та інших, пов'язаних з ним стандартів не</w:t>
      </w:r>
      <w:r>
        <w:rPr>
          <w:rStyle w:val="fontstyle01"/>
          <w:sz w:val="20"/>
          <w:szCs w:val="20"/>
          <w:lang w:val="uk-UA"/>
        </w:rPr>
        <w:t xml:space="preserve"> </w:t>
      </w:r>
      <w:r w:rsidRPr="00B20725">
        <w:rPr>
          <w:rStyle w:val="fontstyle01"/>
          <w:sz w:val="20"/>
          <w:szCs w:val="20"/>
          <w:lang w:val="uk-UA"/>
        </w:rPr>
        <w:t>призводить до бажаного зниження аварійності</w:t>
      </w:r>
      <w:r w:rsidR="00FB6059">
        <w:rPr>
          <w:rStyle w:val="fontstyle01"/>
          <w:sz w:val="20"/>
          <w:szCs w:val="20"/>
          <w:lang w:val="uk-UA"/>
        </w:rPr>
        <w:t xml:space="preserve"> (табл. 1)</w:t>
      </w:r>
      <w:r w:rsidR="00447CA7">
        <w:rPr>
          <w:rStyle w:val="fontstyle01"/>
          <w:sz w:val="20"/>
          <w:szCs w:val="20"/>
          <w:lang w:val="uk-UA"/>
        </w:rPr>
        <w:t xml:space="preserve"> </w:t>
      </w:r>
      <w:r w:rsidR="00447CA7" w:rsidRPr="00447CA7">
        <w:rPr>
          <w:rStyle w:val="fontstyle01"/>
          <w:sz w:val="20"/>
          <w:szCs w:val="20"/>
        </w:rPr>
        <w:t>[</w:t>
      </w:r>
      <w:r w:rsidR="00447CA7">
        <w:rPr>
          <w:rStyle w:val="fontstyle01"/>
          <w:sz w:val="20"/>
          <w:szCs w:val="20"/>
          <w:lang w:val="uk-UA"/>
        </w:rPr>
        <w:t>3</w:t>
      </w:r>
      <w:r w:rsidR="00447CA7" w:rsidRPr="00447CA7">
        <w:rPr>
          <w:rStyle w:val="fontstyle01"/>
          <w:sz w:val="20"/>
          <w:szCs w:val="20"/>
        </w:rPr>
        <w:t>]</w:t>
      </w:r>
      <w:r w:rsidRPr="00B20725">
        <w:rPr>
          <w:rStyle w:val="fontstyle01"/>
          <w:sz w:val="20"/>
          <w:szCs w:val="20"/>
          <w:lang w:val="uk-UA"/>
        </w:rPr>
        <w:t>.</w:t>
      </w:r>
    </w:p>
    <w:p w14:paraId="3C90F8AD" w14:textId="77777777" w:rsidR="00D82E0B" w:rsidRDefault="00D82E0B" w:rsidP="00B20725">
      <w:pPr>
        <w:spacing w:after="0" w:line="240" w:lineRule="auto"/>
        <w:ind w:firstLine="425"/>
        <w:jc w:val="both"/>
        <w:rPr>
          <w:rStyle w:val="fontstyle01"/>
          <w:sz w:val="20"/>
          <w:szCs w:val="20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"/>
        <w:gridCol w:w="685"/>
        <w:gridCol w:w="2976"/>
        <w:gridCol w:w="1701"/>
        <w:gridCol w:w="1560"/>
        <w:gridCol w:w="2232"/>
      </w:tblGrid>
      <w:tr w:rsidR="00FB6059" w14:paraId="49C371E1" w14:textId="77777777" w:rsidTr="006A582C">
        <w:tc>
          <w:tcPr>
            <w:tcW w:w="416" w:type="dxa"/>
            <w:vMerge w:val="restart"/>
            <w:vAlign w:val="center"/>
          </w:tcPr>
          <w:p w14:paraId="20A0EAC1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№</w:t>
            </w:r>
          </w:p>
        </w:tc>
        <w:tc>
          <w:tcPr>
            <w:tcW w:w="685" w:type="dxa"/>
            <w:vMerge w:val="restart"/>
            <w:vAlign w:val="center"/>
          </w:tcPr>
          <w:p w14:paraId="585AA2C9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976" w:type="dxa"/>
            <w:vMerge w:val="restart"/>
            <w:vAlign w:val="center"/>
          </w:tcPr>
          <w:p w14:paraId="2823ED76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3261" w:type="dxa"/>
            <w:gridSpan w:val="2"/>
            <w:vAlign w:val="center"/>
          </w:tcPr>
          <w:p w14:paraId="055985B0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Наслідки</w:t>
            </w:r>
          </w:p>
        </w:tc>
        <w:tc>
          <w:tcPr>
            <w:tcW w:w="2232" w:type="dxa"/>
            <w:vMerge w:val="restart"/>
            <w:vAlign w:val="center"/>
          </w:tcPr>
          <w:p w14:paraId="566A5ECB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Причина </w:t>
            </w:r>
          </w:p>
        </w:tc>
      </w:tr>
      <w:tr w:rsidR="00FB6059" w14:paraId="2755C7FF" w14:textId="77777777" w:rsidTr="006A582C">
        <w:tc>
          <w:tcPr>
            <w:tcW w:w="416" w:type="dxa"/>
            <w:vMerge/>
            <w:vAlign w:val="center"/>
          </w:tcPr>
          <w:p w14:paraId="69F4A04C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vMerge/>
            <w:vAlign w:val="center"/>
          </w:tcPr>
          <w:p w14:paraId="68B68276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14:paraId="3CB7D690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3AF2927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загинуло</w:t>
            </w:r>
          </w:p>
        </w:tc>
        <w:tc>
          <w:tcPr>
            <w:tcW w:w="1560" w:type="dxa"/>
            <w:vAlign w:val="center"/>
          </w:tcPr>
          <w:p w14:paraId="21CAAB04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поранено</w:t>
            </w:r>
          </w:p>
        </w:tc>
        <w:tc>
          <w:tcPr>
            <w:tcW w:w="2232" w:type="dxa"/>
            <w:vMerge/>
            <w:vAlign w:val="center"/>
          </w:tcPr>
          <w:p w14:paraId="770F7704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</w:tr>
      <w:tr w:rsidR="00FB6059" w14:paraId="356ACF7E" w14:textId="77777777" w:rsidTr="006A582C">
        <w:tc>
          <w:tcPr>
            <w:tcW w:w="416" w:type="dxa"/>
            <w:vAlign w:val="center"/>
          </w:tcPr>
          <w:p w14:paraId="20E638B6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</w:t>
            </w:r>
          </w:p>
        </w:tc>
        <w:tc>
          <w:tcPr>
            <w:tcW w:w="685" w:type="dxa"/>
            <w:vAlign w:val="center"/>
          </w:tcPr>
          <w:p w14:paraId="3B1A6500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1998</w:t>
            </w:r>
          </w:p>
        </w:tc>
        <w:tc>
          <w:tcPr>
            <w:tcW w:w="2976" w:type="dxa"/>
            <w:vAlign w:val="center"/>
          </w:tcPr>
          <w:p w14:paraId="7EA18464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701" w:type="dxa"/>
            <w:vAlign w:val="center"/>
          </w:tcPr>
          <w:p w14:paraId="1560F6E7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101</w:t>
            </w:r>
          </w:p>
        </w:tc>
        <w:tc>
          <w:tcPr>
            <w:tcW w:w="1560" w:type="dxa"/>
            <w:vAlign w:val="center"/>
          </w:tcPr>
          <w:p w14:paraId="43ECB816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88</w:t>
            </w:r>
          </w:p>
        </w:tc>
        <w:tc>
          <w:tcPr>
            <w:tcW w:w="2232" w:type="dxa"/>
            <w:vAlign w:val="center"/>
          </w:tcPr>
          <w:p w14:paraId="6B5EF85C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Помилка людини</w:t>
            </w:r>
          </w:p>
        </w:tc>
      </w:tr>
      <w:tr w:rsidR="00FB6059" w14:paraId="2D9863C2" w14:textId="77777777" w:rsidTr="006A582C">
        <w:tc>
          <w:tcPr>
            <w:tcW w:w="416" w:type="dxa"/>
            <w:vAlign w:val="center"/>
          </w:tcPr>
          <w:p w14:paraId="5DA6E82B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</w:t>
            </w:r>
          </w:p>
        </w:tc>
        <w:tc>
          <w:tcPr>
            <w:tcW w:w="685" w:type="dxa"/>
            <w:vAlign w:val="center"/>
          </w:tcPr>
          <w:p w14:paraId="672599D4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2004</w:t>
            </w:r>
          </w:p>
        </w:tc>
        <w:tc>
          <w:tcPr>
            <w:tcW w:w="2976" w:type="dxa"/>
            <w:vAlign w:val="center"/>
          </w:tcPr>
          <w:p w14:paraId="288B3C8C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Туреччина</w:t>
            </w:r>
          </w:p>
        </w:tc>
        <w:tc>
          <w:tcPr>
            <w:tcW w:w="1701" w:type="dxa"/>
            <w:vAlign w:val="center"/>
          </w:tcPr>
          <w:p w14:paraId="009E9B3C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41</w:t>
            </w:r>
          </w:p>
        </w:tc>
        <w:tc>
          <w:tcPr>
            <w:tcW w:w="1560" w:type="dxa"/>
            <w:vAlign w:val="center"/>
          </w:tcPr>
          <w:p w14:paraId="5FB5EE23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80</w:t>
            </w:r>
          </w:p>
        </w:tc>
        <w:tc>
          <w:tcPr>
            <w:tcW w:w="2232" w:type="dxa"/>
            <w:vAlign w:val="center"/>
          </w:tcPr>
          <w:p w14:paraId="617DAE66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---</w:t>
            </w:r>
          </w:p>
        </w:tc>
      </w:tr>
      <w:tr w:rsidR="00FB6059" w14:paraId="49A79D14" w14:textId="77777777" w:rsidTr="006A582C">
        <w:tc>
          <w:tcPr>
            <w:tcW w:w="416" w:type="dxa"/>
            <w:vAlign w:val="center"/>
          </w:tcPr>
          <w:p w14:paraId="4A37E81C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3</w:t>
            </w:r>
          </w:p>
        </w:tc>
        <w:tc>
          <w:tcPr>
            <w:tcW w:w="685" w:type="dxa"/>
            <w:vAlign w:val="center"/>
          </w:tcPr>
          <w:p w14:paraId="5DD063D2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2004</w:t>
            </w:r>
          </w:p>
        </w:tc>
        <w:tc>
          <w:tcPr>
            <w:tcW w:w="2976" w:type="dxa"/>
            <w:vAlign w:val="center"/>
          </w:tcPr>
          <w:p w14:paraId="1E924D7A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Японія</w:t>
            </w:r>
          </w:p>
        </w:tc>
        <w:tc>
          <w:tcPr>
            <w:tcW w:w="3261" w:type="dxa"/>
            <w:gridSpan w:val="2"/>
            <w:vAlign w:val="center"/>
          </w:tcPr>
          <w:p w14:paraId="6DB30128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</w:t>
            </w:r>
            <w:r w:rsidR="006A582C">
              <w:rPr>
                <w:rStyle w:val="fontstyle01"/>
                <w:sz w:val="20"/>
                <w:szCs w:val="20"/>
                <w:lang w:val="uk-UA"/>
              </w:rPr>
              <w:t>хто не постраждав</w:t>
            </w:r>
          </w:p>
        </w:tc>
        <w:tc>
          <w:tcPr>
            <w:tcW w:w="2232" w:type="dxa"/>
            <w:vAlign w:val="center"/>
          </w:tcPr>
          <w:p w14:paraId="07405272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Землетрус</w:t>
            </w:r>
          </w:p>
        </w:tc>
      </w:tr>
      <w:tr w:rsidR="00FB6059" w14:paraId="715773A6" w14:textId="77777777" w:rsidTr="006A582C">
        <w:tc>
          <w:tcPr>
            <w:tcW w:w="416" w:type="dxa"/>
            <w:vAlign w:val="center"/>
          </w:tcPr>
          <w:p w14:paraId="3E41F4E9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14:paraId="035D7706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2005</w:t>
            </w:r>
          </w:p>
        </w:tc>
        <w:tc>
          <w:tcPr>
            <w:tcW w:w="2976" w:type="dxa"/>
            <w:vAlign w:val="center"/>
          </w:tcPr>
          <w:p w14:paraId="33ABD5A1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Японія</w:t>
            </w:r>
          </w:p>
        </w:tc>
        <w:tc>
          <w:tcPr>
            <w:tcW w:w="1701" w:type="dxa"/>
            <w:vAlign w:val="center"/>
          </w:tcPr>
          <w:p w14:paraId="622F6105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107</w:t>
            </w:r>
          </w:p>
        </w:tc>
        <w:tc>
          <w:tcPr>
            <w:tcW w:w="1560" w:type="dxa"/>
            <w:vAlign w:val="center"/>
          </w:tcPr>
          <w:p w14:paraId="4EA9ED5C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562</w:t>
            </w:r>
          </w:p>
        </w:tc>
        <w:tc>
          <w:tcPr>
            <w:tcW w:w="2232" w:type="dxa"/>
            <w:vAlign w:val="center"/>
          </w:tcPr>
          <w:p w14:paraId="6803B584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Помилка людини</w:t>
            </w:r>
          </w:p>
        </w:tc>
      </w:tr>
      <w:tr w:rsidR="006A582C" w14:paraId="65822BF9" w14:textId="77777777" w:rsidTr="006A582C">
        <w:tc>
          <w:tcPr>
            <w:tcW w:w="416" w:type="dxa"/>
            <w:vAlign w:val="center"/>
          </w:tcPr>
          <w:p w14:paraId="42FC9A52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vAlign w:val="center"/>
          </w:tcPr>
          <w:p w14:paraId="6FB90EBB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2008</w:t>
            </w:r>
          </w:p>
        </w:tc>
        <w:tc>
          <w:tcPr>
            <w:tcW w:w="2976" w:type="dxa"/>
            <w:vAlign w:val="center"/>
          </w:tcPr>
          <w:p w14:paraId="29771F0F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3261" w:type="dxa"/>
            <w:gridSpan w:val="2"/>
            <w:vAlign w:val="center"/>
          </w:tcPr>
          <w:p w14:paraId="59EF577E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Ніхто не постраждав</w:t>
            </w:r>
          </w:p>
        </w:tc>
        <w:tc>
          <w:tcPr>
            <w:tcW w:w="2232" w:type="dxa"/>
            <w:vAlign w:val="center"/>
          </w:tcPr>
          <w:p w14:paraId="4DFC5CD5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---</w:t>
            </w:r>
          </w:p>
        </w:tc>
      </w:tr>
      <w:tr w:rsidR="00FB6059" w14:paraId="68853661" w14:textId="77777777" w:rsidTr="006A582C">
        <w:tc>
          <w:tcPr>
            <w:tcW w:w="416" w:type="dxa"/>
            <w:vAlign w:val="center"/>
          </w:tcPr>
          <w:p w14:paraId="4DDDCC11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6</w:t>
            </w:r>
          </w:p>
        </w:tc>
        <w:tc>
          <w:tcPr>
            <w:tcW w:w="685" w:type="dxa"/>
            <w:vAlign w:val="center"/>
          </w:tcPr>
          <w:p w14:paraId="50EA957F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2011</w:t>
            </w:r>
          </w:p>
        </w:tc>
        <w:tc>
          <w:tcPr>
            <w:tcW w:w="2976" w:type="dxa"/>
            <w:vAlign w:val="center"/>
          </w:tcPr>
          <w:p w14:paraId="52760380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701" w:type="dxa"/>
            <w:vAlign w:val="center"/>
          </w:tcPr>
          <w:p w14:paraId="14712197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40</w:t>
            </w:r>
          </w:p>
        </w:tc>
        <w:tc>
          <w:tcPr>
            <w:tcW w:w="1560" w:type="dxa"/>
            <w:vAlign w:val="center"/>
          </w:tcPr>
          <w:p w14:paraId="53225A66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190</w:t>
            </w:r>
          </w:p>
        </w:tc>
        <w:tc>
          <w:tcPr>
            <w:tcW w:w="2232" w:type="dxa"/>
            <w:vAlign w:val="center"/>
          </w:tcPr>
          <w:p w14:paraId="67F2CBE6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---</w:t>
            </w:r>
          </w:p>
        </w:tc>
      </w:tr>
      <w:tr w:rsidR="00FB6059" w14:paraId="047528B5" w14:textId="77777777" w:rsidTr="006A582C">
        <w:tc>
          <w:tcPr>
            <w:tcW w:w="416" w:type="dxa"/>
            <w:vAlign w:val="center"/>
          </w:tcPr>
          <w:p w14:paraId="598422CB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7</w:t>
            </w:r>
          </w:p>
        </w:tc>
        <w:tc>
          <w:tcPr>
            <w:tcW w:w="685" w:type="dxa"/>
            <w:vAlign w:val="center"/>
          </w:tcPr>
          <w:p w14:paraId="3D37B3BE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2013</w:t>
            </w:r>
          </w:p>
        </w:tc>
        <w:tc>
          <w:tcPr>
            <w:tcW w:w="2976" w:type="dxa"/>
            <w:vAlign w:val="center"/>
          </w:tcPr>
          <w:p w14:paraId="1CF74C61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Іспанія</w:t>
            </w:r>
          </w:p>
        </w:tc>
        <w:tc>
          <w:tcPr>
            <w:tcW w:w="1701" w:type="dxa"/>
            <w:vAlign w:val="center"/>
          </w:tcPr>
          <w:p w14:paraId="5639DC3C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79</w:t>
            </w:r>
          </w:p>
        </w:tc>
        <w:tc>
          <w:tcPr>
            <w:tcW w:w="1560" w:type="dxa"/>
            <w:vAlign w:val="center"/>
          </w:tcPr>
          <w:p w14:paraId="04C2D014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139</w:t>
            </w:r>
          </w:p>
        </w:tc>
        <w:tc>
          <w:tcPr>
            <w:tcW w:w="2232" w:type="dxa"/>
            <w:vAlign w:val="center"/>
          </w:tcPr>
          <w:p w14:paraId="40B5406B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---</w:t>
            </w:r>
          </w:p>
        </w:tc>
      </w:tr>
      <w:tr w:rsidR="00FB6059" w14:paraId="53283A42" w14:textId="77777777" w:rsidTr="006A582C">
        <w:tc>
          <w:tcPr>
            <w:tcW w:w="416" w:type="dxa"/>
            <w:vAlign w:val="center"/>
          </w:tcPr>
          <w:p w14:paraId="1DA76772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8</w:t>
            </w:r>
          </w:p>
        </w:tc>
        <w:tc>
          <w:tcPr>
            <w:tcW w:w="685" w:type="dxa"/>
            <w:vAlign w:val="center"/>
          </w:tcPr>
          <w:p w14:paraId="3A384307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976" w:type="dxa"/>
            <w:vAlign w:val="center"/>
          </w:tcPr>
          <w:p w14:paraId="1B702961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701" w:type="dxa"/>
            <w:vAlign w:val="center"/>
          </w:tcPr>
          <w:p w14:paraId="38F02CCE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14:paraId="70F3A802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40</w:t>
            </w:r>
          </w:p>
        </w:tc>
        <w:tc>
          <w:tcPr>
            <w:tcW w:w="2232" w:type="dxa"/>
            <w:vAlign w:val="center"/>
          </w:tcPr>
          <w:p w14:paraId="4E815860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Технічна відмова</w:t>
            </w:r>
          </w:p>
        </w:tc>
      </w:tr>
      <w:tr w:rsidR="00FB6059" w14:paraId="7188F5B9" w14:textId="77777777" w:rsidTr="006A582C">
        <w:tc>
          <w:tcPr>
            <w:tcW w:w="416" w:type="dxa"/>
            <w:vAlign w:val="center"/>
          </w:tcPr>
          <w:p w14:paraId="494FD895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9</w:t>
            </w:r>
          </w:p>
        </w:tc>
        <w:tc>
          <w:tcPr>
            <w:tcW w:w="685" w:type="dxa"/>
            <w:vAlign w:val="center"/>
          </w:tcPr>
          <w:p w14:paraId="1734A778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2015</w:t>
            </w:r>
          </w:p>
        </w:tc>
        <w:tc>
          <w:tcPr>
            <w:tcW w:w="2976" w:type="dxa"/>
            <w:vAlign w:val="center"/>
          </w:tcPr>
          <w:p w14:paraId="5A096A2E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701" w:type="dxa"/>
            <w:vAlign w:val="center"/>
          </w:tcPr>
          <w:p w14:paraId="363B3A68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14:paraId="193C7D80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21</w:t>
            </w:r>
          </w:p>
        </w:tc>
        <w:tc>
          <w:tcPr>
            <w:tcW w:w="2232" w:type="dxa"/>
            <w:vAlign w:val="center"/>
          </w:tcPr>
          <w:p w14:paraId="40A7698C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Помилка людини</w:t>
            </w:r>
          </w:p>
        </w:tc>
      </w:tr>
      <w:tr w:rsidR="006A582C" w14:paraId="31E25C13" w14:textId="77777777" w:rsidTr="006A582C">
        <w:tc>
          <w:tcPr>
            <w:tcW w:w="416" w:type="dxa"/>
            <w:vAlign w:val="center"/>
          </w:tcPr>
          <w:p w14:paraId="2E47C08E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vAlign w:val="center"/>
          </w:tcPr>
          <w:p w14:paraId="11B2D54A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976" w:type="dxa"/>
            <w:vAlign w:val="center"/>
          </w:tcPr>
          <w:p w14:paraId="14AD3939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701" w:type="dxa"/>
            <w:vAlign w:val="center"/>
          </w:tcPr>
          <w:p w14:paraId="5479022B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14:paraId="415509E2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</w:t>
            </w:r>
          </w:p>
        </w:tc>
        <w:tc>
          <w:tcPr>
            <w:tcW w:w="2232" w:type="dxa"/>
            <w:vAlign w:val="center"/>
          </w:tcPr>
          <w:p w14:paraId="7668E9E8" w14:textId="77777777" w:rsidR="006A582C" w:rsidRDefault="006A582C" w:rsidP="00754B38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Технічна відмова</w:t>
            </w:r>
          </w:p>
        </w:tc>
      </w:tr>
      <w:tr w:rsidR="006A582C" w14:paraId="6E1A2F57" w14:textId="77777777" w:rsidTr="006A582C">
        <w:tc>
          <w:tcPr>
            <w:tcW w:w="416" w:type="dxa"/>
            <w:vAlign w:val="center"/>
          </w:tcPr>
          <w:p w14:paraId="53F302DE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11</w:t>
            </w:r>
          </w:p>
        </w:tc>
        <w:tc>
          <w:tcPr>
            <w:tcW w:w="685" w:type="dxa"/>
            <w:vAlign w:val="center"/>
          </w:tcPr>
          <w:p w14:paraId="2CC1E0CE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14:paraId="24DA16BB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701" w:type="dxa"/>
            <w:vAlign w:val="center"/>
          </w:tcPr>
          <w:p w14:paraId="5DA6B9E1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14:paraId="6035E48C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4</w:t>
            </w:r>
          </w:p>
        </w:tc>
        <w:tc>
          <w:tcPr>
            <w:tcW w:w="2232" w:type="dxa"/>
            <w:vAlign w:val="center"/>
          </w:tcPr>
          <w:p w14:paraId="0E8DB9B6" w14:textId="77777777" w:rsidR="006A582C" w:rsidRDefault="006A582C" w:rsidP="00754B38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Помилка людини</w:t>
            </w:r>
          </w:p>
        </w:tc>
      </w:tr>
      <w:tr w:rsidR="00FB6059" w14:paraId="0FB4807A" w14:textId="77777777" w:rsidTr="006A582C">
        <w:tc>
          <w:tcPr>
            <w:tcW w:w="416" w:type="dxa"/>
            <w:vAlign w:val="center"/>
          </w:tcPr>
          <w:p w14:paraId="7D970D98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12</w:t>
            </w:r>
          </w:p>
        </w:tc>
        <w:tc>
          <w:tcPr>
            <w:tcW w:w="685" w:type="dxa"/>
            <w:vAlign w:val="center"/>
          </w:tcPr>
          <w:p w14:paraId="26F17D20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14:paraId="195A06AD" w14:textId="77777777" w:rsidR="00FB6059" w:rsidRDefault="00FB6059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Тайвань</w:t>
            </w:r>
          </w:p>
        </w:tc>
        <w:tc>
          <w:tcPr>
            <w:tcW w:w="1701" w:type="dxa"/>
            <w:vAlign w:val="center"/>
          </w:tcPr>
          <w:p w14:paraId="2DBECA5B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14:paraId="0B65BEAF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187</w:t>
            </w:r>
          </w:p>
        </w:tc>
        <w:tc>
          <w:tcPr>
            <w:tcW w:w="2232" w:type="dxa"/>
            <w:vAlign w:val="center"/>
          </w:tcPr>
          <w:p w14:paraId="5950E6D6" w14:textId="77777777" w:rsidR="00FB6059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---</w:t>
            </w:r>
          </w:p>
        </w:tc>
      </w:tr>
      <w:tr w:rsidR="006A582C" w14:paraId="766546A0" w14:textId="77777777" w:rsidTr="006A582C">
        <w:tc>
          <w:tcPr>
            <w:tcW w:w="416" w:type="dxa"/>
            <w:vAlign w:val="center"/>
          </w:tcPr>
          <w:p w14:paraId="1AB18EE8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13</w:t>
            </w:r>
          </w:p>
        </w:tc>
        <w:tc>
          <w:tcPr>
            <w:tcW w:w="685" w:type="dxa"/>
            <w:vAlign w:val="center"/>
          </w:tcPr>
          <w:p w14:paraId="28C411CE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14:paraId="04EBD62B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Південна Корея</w:t>
            </w:r>
          </w:p>
        </w:tc>
        <w:tc>
          <w:tcPr>
            <w:tcW w:w="1701" w:type="dxa"/>
            <w:vAlign w:val="center"/>
          </w:tcPr>
          <w:p w14:paraId="6683EA4A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14:paraId="6DBFFB56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15</w:t>
            </w:r>
          </w:p>
        </w:tc>
        <w:tc>
          <w:tcPr>
            <w:tcW w:w="2232" w:type="dxa"/>
            <w:vAlign w:val="center"/>
          </w:tcPr>
          <w:p w14:paraId="791A0601" w14:textId="77777777" w:rsidR="006A582C" w:rsidRDefault="006A582C" w:rsidP="00754B38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Технічна відмова</w:t>
            </w:r>
          </w:p>
        </w:tc>
      </w:tr>
      <w:tr w:rsidR="006A582C" w14:paraId="10F03BAB" w14:textId="77777777" w:rsidTr="006A582C">
        <w:tc>
          <w:tcPr>
            <w:tcW w:w="416" w:type="dxa"/>
            <w:vAlign w:val="center"/>
          </w:tcPr>
          <w:p w14:paraId="2653687B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14</w:t>
            </w:r>
          </w:p>
        </w:tc>
        <w:tc>
          <w:tcPr>
            <w:tcW w:w="685" w:type="dxa"/>
            <w:vAlign w:val="center"/>
          </w:tcPr>
          <w:p w14:paraId="68DBF000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14:paraId="58932E7A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Туреччина</w:t>
            </w:r>
          </w:p>
        </w:tc>
        <w:tc>
          <w:tcPr>
            <w:tcW w:w="1701" w:type="dxa"/>
            <w:vAlign w:val="center"/>
          </w:tcPr>
          <w:p w14:paraId="216AEF8A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14:paraId="1E744638" w14:textId="77777777" w:rsidR="006A582C" w:rsidRDefault="006A582C" w:rsidP="00FB6059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86</w:t>
            </w:r>
          </w:p>
        </w:tc>
        <w:tc>
          <w:tcPr>
            <w:tcW w:w="2232" w:type="dxa"/>
            <w:vAlign w:val="center"/>
          </w:tcPr>
          <w:p w14:paraId="6DB697F3" w14:textId="77777777" w:rsidR="006A582C" w:rsidRDefault="006A582C" w:rsidP="00754B38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Помилка людини</w:t>
            </w:r>
          </w:p>
        </w:tc>
      </w:tr>
    </w:tbl>
    <w:p w14:paraId="6B2DC24B" w14:textId="77777777" w:rsidR="00FB6059" w:rsidRDefault="00FB6059" w:rsidP="00FB6059">
      <w:pPr>
        <w:spacing w:after="0" w:line="240" w:lineRule="auto"/>
        <w:jc w:val="both"/>
        <w:rPr>
          <w:rStyle w:val="fontstyle01"/>
          <w:sz w:val="20"/>
          <w:szCs w:val="20"/>
          <w:lang w:val="uk-UA"/>
        </w:rPr>
      </w:pPr>
    </w:p>
    <w:p w14:paraId="5583B9C5" w14:textId="77777777" w:rsidR="007560B4" w:rsidRDefault="007560B4" w:rsidP="007560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Аналіз наведених даних показує:</w:t>
      </w:r>
    </w:p>
    <w:p w14:paraId="397AA497" w14:textId="77777777" w:rsidR="007560B4" w:rsidRPr="007560B4" w:rsidRDefault="007560B4" w:rsidP="007560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60B4">
        <w:rPr>
          <w:rFonts w:ascii="Times New Roman" w:hAnsi="Times New Roman" w:cs="Times New Roman"/>
          <w:sz w:val="20"/>
          <w:szCs w:val="20"/>
          <w:lang w:val="uk-UA"/>
        </w:rPr>
        <w:t>помилки людини представляють собою основну причину аварій з поїздами ВШМ;</w:t>
      </w:r>
    </w:p>
    <w:p w14:paraId="31090F85" w14:textId="77777777" w:rsidR="007560B4" w:rsidRPr="007560B4" w:rsidRDefault="007560B4" w:rsidP="007560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60B4">
        <w:rPr>
          <w:rFonts w:ascii="Times New Roman" w:hAnsi="Times New Roman" w:cs="Times New Roman"/>
          <w:sz w:val="20"/>
          <w:szCs w:val="20"/>
          <w:lang w:val="uk-UA"/>
        </w:rPr>
        <w:t>аварії на ВШМ, викликані помилками людини, мають найбільш важкі наслідки;</w:t>
      </w:r>
    </w:p>
    <w:p w14:paraId="43A532EA" w14:textId="77777777" w:rsidR="007560B4" w:rsidRPr="007560B4" w:rsidRDefault="007560B4" w:rsidP="007560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60B4">
        <w:rPr>
          <w:rFonts w:ascii="Times New Roman" w:hAnsi="Times New Roman" w:cs="Times New Roman"/>
          <w:sz w:val="20"/>
          <w:szCs w:val="20"/>
          <w:lang w:val="uk-UA"/>
        </w:rPr>
        <w:t>кожні 10 років число аварій на ВШМ, викликаних помилками людини, збільшується.</w:t>
      </w:r>
    </w:p>
    <w:p w14:paraId="339F0D6E" w14:textId="77777777" w:rsidR="007560B4" w:rsidRDefault="007560B4" w:rsidP="007560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60B4">
        <w:rPr>
          <w:rFonts w:ascii="Times New Roman" w:hAnsi="Times New Roman" w:cs="Times New Roman"/>
          <w:sz w:val="20"/>
          <w:szCs w:val="20"/>
          <w:lang w:val="uk-UA"/>
        </w:rPr>
        <w:t>Цей висновок суперечить очікувани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результат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ам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цілеспрямованої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і активної діяльності щодо забезпечення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безпеки на В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Ш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М і на звичайних залізних дорогах і потребує додаткового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підтвердженн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. Дійсно, з 2004 р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коли в Євросоюзі була опублікована «Директива по залізничній безпе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ці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(Directive 2004/49 / EC), в європейських країнах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почався процес підготовки і впровадження системи менеджменту безпеки руху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lastRenderedPageBreak/>
        <w:t>(СМБ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), який спрямований на зниження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аварійності, 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що викликана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помилками людини. Тому статистика аварійності на залізницях Європи на початку появи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СМБ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і по завершенні тривалого періоду її застосування повинна підтвердити ефективність СМБ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і спростувати наведені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результати. Або ж з'ясується, що ефективність СМБ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 xml:space="preserve"> низька і з її допомогою не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вдається знизити вплив помилок людини</w:t>
      </w:r>
      <w:r w:rsidR="00FA3D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60B4">
        <w:rPr>
          <w:rFonts w:ascii="Times New Roman" w:hAnsi="Times New Roman" w:cs="Times New Roman"/>
          <w:sz w:val="20"/>
          <w:szCs w:val="20"/>
          <w:lang w:val="uk-UA"/>
        </w:rPr>
        <w:t>на безпеку руху.</w:t>
      </w:r>
    </w:p>
    <w:p w14:paraId="77D3074E" w14:textId="77777777" w:rsidR="00FD5B4A" w:rsidRDefault="00FD5B4A" w:rsidP="00FD5B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5B4A">
        <w:rPr>
          <w:rFonts w:ascii="Times New Roman" w:hAnsi="Times New Roman" w:cs="Times New Roman"/>
          <w:sz w:val="20"/>
          <w:szCs w:val="20"/>
          <w:lang w:val="uk-UA"/>
        </w:rPr>
        <w:t>Таким чином, існуючі на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залізницях різних країн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системи технічного регулювання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безпеки руху недостатньо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ефективно попереджають помилки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людини при виконанні ним дій, пов'язаних з безпекою руху, і не використовують всі можливості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стандартів управління надійністю,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готовністю, ремонтопридатністю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і безпекою (стандарти EN 50126,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 xml:space="preserve">EN 50128 і EN 50129, </w:t>
      </w:r>
      <w:r>
        <w:rPr>
          <w:rFonts w:ascii="Times New Roman" w:hAnsi="Times New Roman" w:cs="Times New Roman"/>
          <w:sz w:val="20"/>
          <w:szCs w:val="20"/>
          <w:lang w:val="uk-UA"/>
        </w:rPr>
        <w:t>тобто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 xml:space="preserve"> Стандарти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D5B4A">
        <w:rPr>
          <w:rFonts w:ascii="Times New Roman" w:hAnsi="Times New Roman" w:cs="Times New Roman"/>
          <w:sz w:val="20"/>
          <w:szCs w:val="20"/>
          <w:lang w:val="uk-UA"/>
        </w:rPr>
        <w:t>RAMS Комітету CENELEC).</w:t>
      </w:r>
    </w:p>
    <w:p w14:paraId="75CC2D13" w14:textId="77777777" w:rsid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Зростання інтенсивності помилок людини повин</w:t>
      </w:r>
      <w:r>
        <w:rPr>
          <w:rFonts w:ascii="Times New Roman" w:hAnsi="Times New Roman" w:cs="Times New Roman"/>
          <w:sz w:val="20"/>
          <w:szCs w:val="20"/>
          <w:lang w:val="uk-UA"/>
        </w:rPr>
        <w:t>но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враховуватися при реалізації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проектів В</w:t>
      </w:r>
      <w:r>
        <w:rPr>
          <w:rFonts w:ascii="Times New Roman" w:hAnsi="Times New Roman" w:cs="Times New Roman"/>
          <w:sz w:val="20"/>
          <w:szCs w:val="20"/>
          <w:lang w:val="uk-UA"/>
        </w:rPr>
        <w:t>Ш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М і при формуванні системи їх технічного регулювання.</w:t>
      </w:r>
    </w:p>
    <w:p w14:paraId="34EA27EA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Система управління та забезпечення безпеки руху поїздів на таких ділянках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повинна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врахову</w:t>
      </w:r>
      <w:r>
        <w:rPr>
          <w:rFonts w:ascii="Times New Roman" w:hAnsi="Times New Roman" w:cs="Times New Roman"/>
          <w:sz w:val="20"/>
          <w:szCs w:val="20"/>
          <w:lang w:val="uk-UA"/>
        </w:rPr>
        <w:t>вати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специфіку організації змішаного руху і характеризу</w:t>
      </w:r>
      <w:r>
        <w:rPr>
          <w:rFonts w:ascii="Times New Roman" w:hAnsi="Times New Roman" w:cs="Times New Roman"/>
          <w:sz w:val="20"/>
          <w:szCs w:val="20"/>
          <w:lang w:val="uk-UA"/>
        </w:rPr>
        <w:t>ватися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наступними якісними показниками</w:t>
      </w:r>
      <w:r w:rsidR="003E474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E474A" w:rsidRPr="003E474A">
        <w:rPr>
          <w:rFonts w:ascii="Times New Roman" w:hAnsi="Times New Roman" w:cs="Times New Roman"/>
          <w:sz w:val="20"/>
          <w:szCs w:val="20"/>
        </w:rPr>
        <w:t>[</w:t>
      </w:r>
      <w:r w:rsidR="003E474A">
        <w:rPr>
          <w:rFonts w:ascii="Times New Roman" w:hAnsi="Times New Roman" w:cs="Times New Roman"/>
          <w:sz w:val="20"/>
          <w:szCs w:val="20"/>
        </w:rPr>
        <w:t>4</w:t>
      </w:r>
      <w:r w:rsidR="00AB0D4F">
        <w:rPr>
          <w:rFonts w:ascii="Times New Roman" w:hAnsi="Times New Roman" w:cs="Times New Roman"/>
          <w:sz w:val="20"/>
          <w:szCs w:val="20"/>
          <w:lang w:val="uk-UA"/>
        </w:rPr>
        <w:t>, 5</w:t>
      </w:r>
      <w:r w:rsidR="003E474A" w:rsidRPr="003E474A">
        <w:rPr>
          <w:rFonts w:ascii="Times New Roman" w:hAnsi="Times New Roman" w:cs="Times New Roman"/>
          <w:sz w:val="20"/>
          <w:szCs w:val="20"/>
        </w:rPr>
        <w:t>]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160A1926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сумісніст</w:t>
      </w:r>
      <w:r w:rsidR="003E474A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з пристроями і системами </w:t>
      </w:r>
      <w:r>
        <w:rPr>
          <w:rFonts w:ascii="Times New Roman" w:hAnsi="Times New Roman" w:cs="Times New Roman"/>
          <w:sz w:val="20"/>
          <w:szCs w:val="20"/>
          <w:lang w:val="uk-UA"/>
        </w:rPr>
        <w:t>колії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, рухомого складу, зв'язку, електропостачання та зворотно</w:t>
      </w:r>
      <w:r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тягової мережі;</w:t>
      </w:r>
    </w:p>
    <w:p w14:paraId="1C7371D1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оснащенням лінії пристроями автоматичного блокування з багатозначною автоматичною локомотивною сигналізацією пристроями електричної централізації стрілок і світлофорів, пристроями диспетчерської централізації, а також пристроями технічної діагностики і моніторингу стану пристроїв і систем СЦБ;</w:t>
      </w:r>
    </w:p>
    <w:p w14:paraId="13E21C72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обладнанням лінії підлоговими пристроями, що забезпечують високошвидкісн</w:t>
      </w:r>
      <w:r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рух, що підвищують функціональну надійність і безпеку, а саме - пристроями контролю вільності ділянок шляху, контролю і діагностики прилягання </w:t>
      </w:r>
      <w:r w:rsidR="003E474A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стряка до рамної рейки стрілки, зовнішніми замикачами, охоронними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 запобіжними пристроями </w:t>
      </w:r>
      <w:r>
        <w:rPr>
          <w:rFonts w:ascii="Times New Roman" w:hAnsi="Times New Roman" w:cs="Times New Roman"/>
          <w:sz w:val="20"/>
          <w:szCs w:val="20"/>
          <w:lang w:val="uk-UA"/>
        </w:rPr>
        <w:t>та ін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.;</w:t>
      </w:r>
    </w:p>
    <w:p w14:paraId="6469F9C2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обладнанням рухомого складу пристроями безпеки, контролюючими положення і швидкість рухомого складу, інтервал попутного прямування, маршрут прямування по станціях і стан машиніста;</w:t>
      </w:r>
    </w:p>
    <w:p w14:paraId="509F7818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організацією спеціального швидкісного режиму руху з єдиного диспетчерського центру;</w:t>
      </w:r>
    </w:p>
    <w:p w14:paraId="10CF0AC9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- контролем за станом технічних засобів і діями оперативного персоналу, керуючого рухом поїздів.</w:t>
      </w:r>
    </w:p>
    <w:p w14:paraId="71DD813B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 xml:space="preserve">Зазначені </w:t>
      </w:r>
      <w:r w:rsidR="0025710B">
        <w:rPr>
          <w:rFonts w:ascii="Times New Roman" w:hAnsi="Times New Roman" w:cs="Times New Roman"/>
          <w:sz w:val="20"/>
          <w:szCs w:val="20"/>
          <w:lang w:val="uk-UA"/>
        </w:rPr>
        <w:t xml:space="preserve">вище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проекти та система технічного регулювання повинні включати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в себе комплекс заходів попереджувального і своєчасного реагування,</w:t>
      </w:r>
      <w:r w:rsidR="002571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спрямованих на виключення помилок</w:t>
      </w:r>
      <w:r w:rsidR="002571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людини.</w:t>
      </w:r>
    </w:p>
    <w:p w14:paraId="59B3A7D2" w14:textId="77777777" w:rsidR="00827DF6" w:rsidRPr="00827DF6" w:rsidRDefault="00827DF6" w:rsidP="00827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7DF6">
        <w:rPr>
          <w:rFonts w:ascii="Times New Roman" w:hAnsi="Times New Roman" w:cs="Times New Roman"/>
          <w:sz w:val="20"/>
          <w:szCs w:val="20"/>
          <w:lang w:val="uk-UA"/>
        </w:rPr>
        <w:t>Організація цих заходів повинна</w:t>
      </w:r>
      <w:r w:rsidR="002571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здійснюватися за двома основними напрямками</w:t>
      </w:r>
      <w:r w:rsidR="00D271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27114" w:rsidRPr="00D27114">
        <w:rPr>
          <w:rFonts w:ascii="Times New Roman" w:hAnsi="Times New Roman" w:cs="Times New Roman"/>
          <w:sz w:val="20"/>
          <w:szCs w:val="20"/>
        </w:rPr>
        <w:t>[</w:t>
      </w:r>
      <w:r w:rsidR="00D27114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D27114" w:rsidRPr="00D27114">
        <w:rPr>
          <w:rFonts w:ascii="Times New Roman" w:hAnsi="Times New Roman" w:cs="Times New Roman"/>
          <w:sz w:val="20"/>
          <w:szCs w:val="20"/>
        </w:rPr>
        <w:t>]</w:t>
      </w:r>
      <w:r w:rsidRPr="00827DF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5C3A1900" w14:textId="77777777" w:rsidR="00827DF6" w:rsidRPr="00BC25B3" w:rsidRDefault="00827DF6" w:rsidP="00BC25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розробка функцій безпеки (відповідно до вимог стандарту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EN50126, або IEC62278), їх інтеграція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 архітектуру управління залізничною транспортно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систем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і комплексна автоматизація функцій в складі системи;</w:t>
      </w:r>
    </w:p>
    <w:p w14:paraId="3BDDFC8D" w14:textId="77777777" w:rsidR="00827DF6" w:rsidRPr="00BC25B3" w:rsidRDefault="00827DF6" w:rsidP="00BC25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вдосконалення системи менеджменту безпеки руху (СМБ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для виключення помилок людини при</w:t>
      </w:r>
      <w:r w:rsidR="0025710B"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виконанні функцій безпеки.</w:t>
      </w:r>
    </w:p>
    <w:p w14:paraId="4E2E881C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Головна мета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підвищення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гарантоздатності людини. </w:t>
      </w:r>
      <w:r w:rsidR="00D627CB" w:rsidRPr="00BC25B3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цієї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причини системи технічного регулювання багатьох країн вимагають застосування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в практиці управління безпекою залізничних підприємств (як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наприклад «Директива з безпеки»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 Євросоюзі).</w:t>
      </w:r>
    </w:p>
    <w:p w14:paraId="6A2880AC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Як будь-яка система менеджменту,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повинна мати інструмент для надійного визначення гарантоздатності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організаційних структур і підрозділів, відповідальних за якість і безпеку. Для цього може бути використана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метрика, що виражається рівнями технологічної зрілості, наприклад метрика, яка використовується в стандарті ISO 22613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аніше IRIS - міжнародний стандарт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залізничної промисловості, розроблений UNIFE). Цей стандарт широко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використовується в залізничній промисловості і може служити основою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для інтеграції процесів управління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якістю і безпекою. Наведемо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загальні вимоги до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Р </w:t>
      </w:r>
      <w:r w:rsidR="00D627CB" w:rsidRPr="004B7BF1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D627CB" w:rsidRPr="004B7BF1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2EDD32E8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1.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повинна охоплювати всі етапи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життєвого циклу транспортних систем, включаючи проектування, виготовлення, будівництво, експлуатацію,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обслуговування, модернізацію та зняття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з експлуатації.</w:t>
      </w:r>
    </w:p>
    <w:p w14:paraId="76F6C1C0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2.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повинна включати процес постійного вдосконалення безпеки, в основі якого лежить:</w:t>
      </w:r>
    </w:p>
    <w:p w14:paraId="7373C9EC" w14:textId="77777777" w:rsidR="00BC25B3" w:rsidRPr="00D627CB" w:rsidRDefault="00BC25B3" w:rsidP="00D62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27CB">
        <w:rPr>
          <w:rFonts w:ascii="Times New Roman" w:hAnsi="Times New Roman" w:cs="Times New Roman"/>
          <w:sz w:val="20"/>
          <w:szCs w:val="20"/>
          <w:lang w:val="uk-UA"/>
        </w:rPr>
        <w:t>ідентифікація загроз і небезпечних</w:t>
      </w:r>
      <w:r w:rsidR="00D627CB" w:rsidRP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627CB">
        <w:rPr>
          <w:rFonts w:ascii="Times New Roman" w:hAnsi="Times New Roman" w:cs="Times New Roman"/>
          <w:sz w:val="20"/>
          <w:szCs w:val="20"/>
          <w:lang w:val="uk-UA"/>
        </w:rPr>
        <w:t>подій, якими вони реалізуються;</w:t>
      </w:r>
    </w:p>
    <w:p w14:paraId="3C166795" w14:textId="77777777" w:rsidR="00BC25B3" w:rsidRPr="00D627CB" w:rsidRDefault="00BC25B3" w:rsidP="00D62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27CB">
        <w:rPr>
          <w:rFonts w:ascii="Times New Roman" w:hAnsi="Times New Roman" w:cs="Times New Roman"/>
          <w:sz w:val="20"/>
          <w:szCs w:val="20"/>
          <w:lang w:val="uk-UA"/>
        </w:rPr>
        <w:t>апріорне і апостеріорне оцінювання ризику;</w:t>
      </w:r>
    </w:p>
    <w:p w14:paraId="42909AEB" w14:textId="77777777" w:rsidR="00BC25B3" w:rsidRPr="00D627CB" w:rsidRDefault="00BC25B3" w:rsidP="00D62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27CB">
        <w:rPr>
          <w:rFonts w:ascii="Times New Roman" w:hAnsi="Times New Roman" w:cs="Times New Roman"/>
          <w:sz w:val="20"/>
          <w:szCs w:val="20"/>
          <w:lang w:val="uk-UA"/>
        </w:rPr>
        <w:t>заходи попереджувального, своєчасного і надзвичайного реагування на</w:t>
      </w:r>
      <w:r w:rsidR="00D627CB" w:rsidRP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627CB">
        <w:rPr>
          <w:rFonts w:ascii="Times New Roman" w:hAnsi="Times New Roman" w:cs="Times New Roman"/>
          <w:sz w:val="20"/>
          <w:szCs w:val="20"/>
          <w:lang w:val="uk-UA"/>
        </w:rPr>
        <w:t>небезпечні події;</w:t>
      </w:r>
    </w:p>
    <w:p w14:paraId="4093F067" w14:textId="77777777" w:rsidR="00BC25B3" w:rsidRPr="00D627CB" w:rsidRDefault="00BC25B3" w:rsidP="00D62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27CB">
        <w:rPr>
          <w:rFonts w:ascii="Times New Roman" w:hAnsi="Times New Roman" w:cs="Times New Roman"/>
          <w:sz w:val="20"/>
          <w:szCs w:val="20"/>
          <w:lang w:val="uk-UA"/>
        </w:rPr>
        <w:t>оцінка заходів реагування в метриці рівнів повноти безпеки;</w:t>
      </w:r>
    </w:p>
    <w:p w14:paraId="067A80C1" w14:textId="77777777" w:rsidR="00BC25B3" w:rsidRPr="00D627CB" w:rsidRDefault="00BC25B3" w:rsidP="00D62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27CB">
        <w:rPr>
          <w:rFonts w:ascii="Times New Roman" w:hAnsi="Times New Roman" w:cs="Times New Roman"/>
          <w:sz w:val="20"/>
          <w:szCs w:val="20"/>
          <w:lang w:val="uk-UA"/>
        </w:rPr>
        <w:t>оцінка діяльності персоналу,</w:t>
      </w:r>
      <w:r w:rsidR="00D627CB" w:rsidRP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627CB">
        <w:rPr>
          <w:rFonts w:ascii="Times New Roman" w:hAnsi="Times New Roman" w:cs="Times New Roman"/>
          <w:sz w:val="20"/>
          <w:szCs w:val="20"/>
          <w:lang w:val="uk-UA"/>
        </w:rPr>
        <w:t>відпові</w:t>
      </w:r>
      <w:r w:rsidR="00D627CB" w:rsidRPr="00D627CB">
        <w:rPr>
          <w:rFonts w:ascii="Times New Roman" w:hAnsi="Times New Roman" w:cs="Times New Roman"/>
          <w:sz w:val="20"/>
          <w:szCs w:val="20"/>
          <w:lang w:val="uk-UA"/>
        </w:rPr>
        <w:t>дального за безпеку, показникам</w:t>
      </w:r>
      <w:r w:rsidRPr="00D627CB">
        <w:rPr>
          <w:rFonts w:ascii="Times New Roman" w:hAnsi="Times New Roman" w:cs="Times New Roman"/>
          <w:sz w:val="20"/>
          <w:szCs w:val="20"/>
          <w:lang w:val="uk-UA"/>
        </w:rPr>
        <w:t xml:space="preserve"> технічної і поведінкової</w:t>
      </w:r>
      <w:r w:rsidR="00D627CB" w:rsidRP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627CB">
        <w:rPr>
          <w:rFonts w:ascii="Times New Roman" w:hAnsi="Times New Roman" w:cs="Times New Roman"/>
          <w:sz w:val="20"/>
          <w:szCs w:val="20"/>
          <w:lang w:val="uk-UA"/>
        </w:rPr>
        <w:t>компетентності.</w:t>
      </w:r>
    </w:p>
    <w:p w14:paraId="24AA1DB8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3. Аудит ефективності та результативності процесів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повинен забезпечувати оцінку цих процесів в метриці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рівнів технологічної зрілості.</w:t>
      </w:r>
    </w:p>
    <w:p w14:paraId="2D42D8C3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4.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Р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повинна бути частиною системи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менеджменту бізнесу підприємства.</w:t>
      </w:r>
    </w:p>
    <w:p w14:paraId="78827E2A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Однак виконання цих загальних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вимог недостатньо для інтеграції в СМБ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 метрики технологічної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зрілості, використовуваної в стандарті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ISO 22613. Проблема полягає в тому,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що менеджмент безпеки використовує власну метрику, виражену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 рівнях повноти  безпеки, і нам необхідно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об'єднати ці дві метрики в єдиній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системі.</w:t>
      </w:r>
    </w:p>
    <w:p w14:paraId="412EFC7B" w14:textId="77777777" w:rsidR="00BC25B3" w:rsidRPr="00BC25B3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t>Проблему можна вирішити, якщо ймовірність людських помилок при здійсненні тієї чи іншої діяльності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висловити рівнем технологічної зрілості. Такий зв'язок очевидн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: чим нижче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рівень технологічної зрілості підрозділ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, персонал якого вирішує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завдання, пов'язані з безпекою, тим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вище ймовірність появи небезпечної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 xml:space="preserve">помилки. </w:t>
      </w:r>
    </w:p>
    <w:p w14:paraId="4298D1D3" w14:textId="77777777" w:rsidR="003344BA" w:rsidRDefault="00BC25B3" w:rsidP="00BC2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5B3">
        <w:rPr>
          <w:rFonts w:ascii="Times New Roman" w:hAnsi="Times New Roman" w:cs="Times New Roman"/>
          <w:sz w:val="20"/>
          <w:szCs w:val="20"/>
          <w:lang w:val="uk-UA"/>
        </w:rPr>
        <w:lastRenderedPageBreak/>
        <w:t>Використання такого зв'язку дозволить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ставити і вирішувати дуже важливе завдання -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апріорне оцінювання ризику безпеки руху для залізничного</w:t>
      </w:r>
      <w:r w:rsidR="00D627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25B3">
        <w:rPr>
          <w:rFonts w:ascii="Times New Roman" w:hAnsi="Times New Roman" w:cs="Times New Roman"/>
          <w:sz w:val="20"/>
          <w:szCs w:val="20"/>
          <w:lang w:val="uk-UA"/>
        </w:rPr>
        <w:t>підприємства та його підрозділів.</w:t>
      </w:r>
    </w:p>
    <w:p w14:paraId="7BB66F01" w14:textId="77777777" w:rsidR="00827194" w:rsidRDefault="00827194" w:rsidP="00A651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0CD7406" w14:textId="77777777" w:rsidR="00A651CD" w:rsidRPr="00A651CD" w:rsidRDefault="00A651CD" w:rsidP="00A651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651CD">
        <w:rPr>
          <w:rFonts w:ascii="Times New Roman" w:hAnsi="Times New Roman" w:cs="Times New Roman"/>
          <w:b/>
          <w:sz w:val="18"/>
          <w:szCs w:val="18"/>
          <w:lang w:val="uk-UA"/>
        </w:rPr>
        <w:t>Література:</w:t>
      </w:r>
    </w:p>
    <w:p w14:paraId="04E8CAFF" w14:textId="77777777" w:rsidR="00A651CD" w:rsidRPr="0039690B" w:rsidRDefault="0039690B" w:rsidP="00A651C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Курган Н. </w:t>
      </w:r>
      <w:r w:rsidRPr="000459C9">
        <w:rPr>
          <w:rFonts w:ascii="Times New Roman" w:hAnsi="Times New Roman" w:cs="Times New Roman"/>
          <w:sz w:val="18"/>
          <w:szCs w:val="18"/>
        </w:rPr>
        <w:t>Предпос</w:t>
      </w:r>
      <w:r w:rsidR="000459C9" w:rsidRPr="000459C9">
        <w:rPr>
          <w:rFonts w:ascii="Times New Roman" w:hAnsi="Times New Roman" w:cs="Times New Roman"/>
          <w:sz w:val="18"/>
          <w:szCs w:val="18"/>
        </w:rPr>
        <w:t>ы</w:t>
      </w:r>
      <w:r w:rsidRPr="000459C9">
        <w:rPr>
          <w:rFonts w:ascii="Times New Roman" w:hAnsi="Times New Roman" w:cs="Times New Roman"/>
          <w:sz w:val="18"/>
          <w:szCs w:val="18"/>
        </w:rPr>
        <w:t>лки создания в</w:t>
      </w:r>
      <w:r w:rsidR="000459C9" w:rsidRPr="000459C9">
        <w:rPr>
          <w:rFonts w:ascii="Times New Roman" w:hAnsi="Times New Roman" w:cs="Times New Roman"/>
          <w:sz w:val="18"/>
          <w:szCs w:val="18"/>
        </w:rPr>
        <w:t>ы</w:t>
      </w:r>
      <w:r w:rsidRPr="000459C9">
        <w:rPr>
          <w:rFonts w:ascii="Times New Roman" w:hAnsi="Times New Roman" w:cs="Times New Roman"/>
          <w:sz w:val="18"/>
          <w:szCs w:val="18"/>
        </w:rPr>
        <w:t>сокоскоросн</w:t>
      </w:r>
      <w:r w:rsidR="000459C9" w:rsidRPr="000459C9">
        <w:rPr>
          <w:rFonts w:ascii="Times New Roman" w:hAnsi="Times New Roman" w:cs="Times New Roman"/>
          <w:sz w:val="18"/>
          <w:szCs w:val="18"/>
        </w:rPr>
        <w:t>ы</w:t>
      </w:r>
      <w:r w:rsidRPr="000459C9">
        <w:rPr>
          <w:rFonts w:ascii="Times New Roman" w:hAnsi="Times New Roman" w:cs="Times New Roman"/>
          <w:sz w:val="18"/>
          <w:szCs w:val="18"/>
        </w:rPr>
        <w:t xml:space="preserve">х магистралей в Украине. </w:t>
      </w:r>
      <w:r w:rsidRPr="000459C9">
        <w:rPr>
          <w:rFonts w:ascii="MyriadPro-It" w:hAnsi="MyriadPro-It"/>
          <w:iCs/>
          <w:color w:val="000000"/>
          <w:sz w:val="18"/>
          <w:szCs w:val="18"/>
        </w:rPr>
        <w:t>Українські залізниці</w:t>
      </w:r>
      <w:r w:rsidR="00944025">
        <w:rPr>
          <w:rFonts w:ascii="MyriadPro-It" w:hAnsi="MyriadPro-It"/>
          <w:iCs/>
          <w:color w:val="000000"/>
          <w:sz w:val="18"/>
          <w:szCs w:val="18"/>
        </w:rPr>
        <w:t xml:space="preserve">. </w:t>
      </w:r>
      <w:r w:rsidRPr="000459C9">
        <w:rPr>
          <w:rFonts w:ascii="MyriadPro-It" w:hAnsi="MyriadPro-It"/>
          <w:iCs/>
          <w:color w:val="000000"/>
          <w:sz w:val="18"/>
          <w:szCs w:val="18"/>
        </w:rPr>
        <w:t>2015.</w:t>
      </w:r>
      <w:r w:rsidR="00944025">
        <w:rPr>
          <w:rFonts w:ascii="MyriadPro-It" w:hAnsi="MyriadPro-It"/>
          <w:iCs/>
          <w:color w:val="000000"/>
          <w:sz w:val="18"/>
          <w:szCs w:val="18"/>
          <w:lang w:val="uk-UA"/>
        </w:rPr>
        <w:t xml:space="preserve"> </w:t>
      </w:r>
      <w:r w:rsidR="00944025" w:rsidRPr="000459C9">
        <w:rPr>
          <w:rFonts w:ascii="MyriadPro-It" w:hAnsi="MyriadPro-It"/>
          <w:iCs/>
          <w:color w:val="000000"/>
          <w:sz w:val="18"/>
          <w:szCs w:val="18"/>
        </w:rPr>
        <w:t>№ 5–6 (23–24).</w:t>
      </w:r>
      <w:r w:rsidRPr="000459C9">
        <w:rPr>
          <w:rFonts w:ascii="MyriadPro-It" w:hAnsi="MyriadPro-It"/>
          <w:iCs/>
          <w:color w:val="000000"/>
          <w:sz w:val="18"/>
          <w:szCs w:val="18"/>
        </w:rPr>
        <w:t xml:space="preserve"> С. 16-21</w:t>
      </w:r>
    </w:p>
    <w:p w14:paraId="71C050AE" w14:textId="77777777" w:rsidR="00A651CD" w:rsidRPr="007B7335" w:rsidRDefault="0039690B" w:rsidP="00A651C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459C9">
        <w:rPr>
          <w:rFonts w:ascii="Times New Roman" w:hAnsi="Times New Roman" w:cs="Times New Roman"/>
          <w:sz w:val="18"/>
          <w:szCs w:val="18"/>
        </w:rPr>
        <w:t>Устенко А.В. Развитие высокоскоростного железнодорожного транспорта</w:t>
      </w:r>
      <w:r w:rsidR="000459C9">
        <w:rPr>
          <w:rFonts w:ascii="Times New Roman" w:hAnsi="Times New Roman" w:cs="Times New Roman"/>
          <w:sz w:val="18"/>
          <w:szCs w:val="18"/>
        </w:rPr>
        <w:t xml:space="preserve">. </w:t>
      </w:r>
      <w:r w:rsidR="000459C9" w:rsidRPr="000459C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Збірник наукових праць УкрДАЗТ. </w:t>
      </w:r>
      <w:r w:rsidR="00944025"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>2013.</w:t>
      </w:r>
      <w:r w:rsidR="000459C9" w:rsidRPr="000459C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вип. 136. С. 49-56</w:t>
      </w:r>
      <w:r w:rsidR="007C1605"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>.</w:t>
      </w:r>
    </w:p>
    <w:p w14:paraId="79E41E51" w14:textId="77777777" w:rsidR="007B7335" w:rsidRPr="00F20439" w:rsidRDefault="00F20439" w:rsidP="00A651C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Шматченко В.В., Иванов В.Г., Навойцев В.В., Зименкова Т.С., Сеньковский О.А. </w:t>
      </w:r>
      <w:r w:rsidRPr="00F20439">
        <w:rPr>
          <w:rFonts w:ascii="Times New Roman" w:hAnsi="Times New Roman" w:cs="Times New Roman"/>
          <w:bCs/>
          <w:sz w:val="18"/>
          <w:szCs w:val="18"/>
        </w:rPr>
        <w:t>Проблемы безопасности</w:t>
      </w:r>
      <w:r w:rsidRPr="00F20439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F20439">
        <w:rPr>
          <w:rFonts w:ascii="Times New Roman" w:hAnsi="Times New Roman" w:cs="Times New Roman"/>
          <w:bCs/>
          <w:sz w:val="18"/>
          <w:szCs w:val="18"/>
        </w:rPr>
        <w:t>высокоскоростных железнодорожных</w:t>
      </w:r>
      <w:r w:rsidRPr="00F20439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F20439">
        <w:rPr>
          <w:rFonts w:ascii="Times New Roman" w:hAnsi="Times New Roman" w:cs="Times New Roman"/>
          <w:bCs/>
          <w:sz w:val="18"/>
          <w:szCs w:val="18"/>
        </w:rPr>
        <w:t>пассажирских транспортных систем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 xml:space="preserve">. </w:t>
      </w:r>
      <w:r w:rsidR="00983614">
        <w:rPr>
          <w:rFonts w:ascii="Times New Roman" w:hAnsi="Times New Roman" w:cs="Times New Roman"/>
          <w:bCs/>
          <w:sz w:val="18"/>
          <w:szCs w:val="18"/>
          <w:lang w:val="uk-UA"/>
        </w:rPr>
        <w:t>Транспорт Российской федерации. 2019.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№ 5(84). С. 30-37.</w:t>
      </w:r>
    </w:p>
    <w:p w14:paraId="3F6BF40D" w14:textId="77777777" w:rsidR="00D27114" w:rsidRPr="005A33FF" w:rsidRDefault="000B601E" w:rsidP="00D2711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27114">
        <w:rPr>
          <w:rFonts w:ascii="Times New Roman" w:hAnsi="Times New Roman" w:cs="Times New Roman"/>
          <w:sz w:val="18"/>
          <w:szCs w:val="18"/>
        </w:rPr>
        <w:t>Обеспечение безопасности скоростного движения</w:t>
      </w:r>
      <w:r w:rsidR="005A33FF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5A33FF" w:rsidRPr="005A33FF">
        <w:rPr>
          <w:rFonts w:ascii="Times New Roman" w:hAnsi="Times New Roman" w:cs="Times New Roman"/>
          <w:i/>
          <w:sz w:val="18"/>
          <w:szCs w:val="18"/>
          <w:lang w:val="uk-UA"/>
        </w:rPr>
        <w:t>Евразия. Вести</w:t>
      </w:r>
      <w:r w:rsidR="005A33FF">
        <w:rPr>
          <w:rFonts w:ascii="Times New Roman" w:hAnsi="Times New Roman" w:cs="Times New Roman"/>
          <w:sz w:val="18"/>
          <w:szCs w:val="18"/>
          <w:lang w:val="uk-UA"/>
        </w:rPr>
        <w:t xml:space="preserve">: веб-сайт </w:t>
      </w:r>
      <w:r w:rsidRPr="00D27114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D27114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hyperlink r:id="rId5" w:history="1">
        <w:r w:rsidR="00D27114" w:rsidRPr="00D27114">
          <w:rPr>
            <w:rStyle w:val="a6"/>
            <w:rFonts w:ascii="Times New Roman" w:hAnsi="Times New Roman" w:cs="Times New Roman"/>
            <w:sz w:val="18"/>
            <w:szCs w:val="18"/>
            <w:lang w:val="uk-UA"/>
          </w:rPr>
          <w:t>http://www.eav.ru/publ1.php?publid=2008-13a12</w:t>
        </w:r>
      </w:hyperlink>
      <w:r w:rsidR="005A33FF">
        <w:rPr>
          <w:rFonts w:ascii="Times New Roman" w:hAnsi="Times New Roman" w:cs="Times New Roman"/>
          <w:sz w:val="18"/>
          <w:szCs w:val="18"/>
          <w:lang w:val="uk-UA"/>
        </w:rPr>
        <w:t xml:space="preserve"> (дата звернення 09.11.20)</w:t>
      </w:r>
    </w:p>
    <w:p w14:paraId="2B7E5C7C" w14:textId="77777777" w:rsidR="00D27114" w:rsidRPr="00AD6732" w:rsidRDefault="00D27114" w:rsidP="00D2711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27114">
        <w:rPr>
          <w:rFonts w:ascii="Times New Roman" w:hAnsi="Times New Roman" w:cs="Times New Roman"/>
          <w:sz w:val="18"/>
          <w:szCs w:val="18"/>
        </w:rPr>
        <w:t>Перспективи розвитку високошвидкісних магістралей на залізницях України. Частина 1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Pr="00D27114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D27114">
        <w:rPr>
          <w:rFonts w:ascii="Times New Roman" w:hAnsi="Times New Roman" w:cs="Times New Roman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hyperlink r:id="rId6" w:history="1">
        <w:r w:rsidR="00976501" w:rsidRPr="00776EA4">
          <w:rPr>
            <w:rStyle w:val="a6"/>
            <w:rFonts w:ascii="Times New Roman" w:hAnsi="Times New Roman" w:cs="Times New Roman"/>
            <w:sz w:val="18"/>
            <w:szCs w:val="18"/>
            <w:lang w:val="uk-UA"/>
          </w:rPr>
          <w:t>https://ipit.ooo/ua/prospects-for-the-development-of-high-speed-railways-the-railways-of-ukraine-part-1</w:t>
        </w:r>
      </w:hyperlink>
      <w:r w:rsidR="00976501">
        <w:rPr>
          <w:rFonts w:ascii="Times New Roman" w:hAnsi="Times New Roman" w:cs="Times New Roman"/>
          <w:sz w:val="18"/>
          <w:szCs w:val="18"/>
          <w:lang w:val="uk-UA"/>
        </w:rPr>
        <w:t xml:space="preserve"> (дата звернення 09.11.20)</w:t>
      </w:r>
    </w:p>
    <w:p w14:paraId="29AEB8A5" w14:textId="77777777" w:rsidR="00A651CD" w:rsidRPr="00AD6732" w:rsidRDefault="00A651CD" w:rsidP="00A651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2EEE633D" w14:textId="77777777" w:rsidR="009A43AD" w:rsidRPr="009A43AD" w:rsidRDefault="009A43AD" w:rsidP="009A43A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9A43AD">
        <w:rPr>
          <w:rFonts w:ascii="Times New Roman" w:hAnsi="Times New Roman" w:cs="Times New Roman"/>
          <w:i/>
          <w:sz w:val="18"/>
          <w:szCs w:val="18"/>
          <w:lang w:val="en-US"/>
        </w:rPr>
        <w:t xml:space="preserve">Kholoshev D.V. Yalovenko E.V. </w:t>
      </w:r>
      <w:r w:rsidRPr="008A47A0">
        <w:rPr>
          <w:rFonts w:ascii="Times New Roman" w:hAnsi="Times New Roman" w:cs="Times New Roman"/>
          <w:b/>
          <w:sz w:val="18"/>
          <w:szCs w:val="18"/>
          <w:lang w:val="en-US"/>
        </w:rPr>
        <w:t>Research of high-speed</w:t>
      </w:r>
      <w:r w:rsidR="008A47A0" w:rsidRPr="008A47A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8A47A0">
        <w:rPr>
          <w:rFonts w:ascii="Times New Roman" w:hAnsi="Times New Roman" w:cs="Times New Roman"/>
          <w:b/>
          <w:sz w:val="18"/>
          <w:szCs w:val="18"/>
          <w:lang w:val="en-US"/>
        </w:rPr>
        <w:t>issues</w:t>
      </w:r>
      <w:r w:rsidRPr="008A47A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train traffic safety.</w:t>
      </w:r>
      <w:r w:rsidRPr="009A43A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8A47A0">
        <w:rPr>
          <w:rFonts w:ascii="Times New Roman" w:hAnsi="Times New Roman" w:cs="Times New Roman"/>
          <w:sz w:val="18"/>
          <w:szCs w:val="18"/>
          <w:lang w:val="en-US"/>
        </w:rPr>
        <w:t>The article provides data on the European system of high-speed traffic, its length and speed limits. The analysis of statistics of accidents on high-speed highways in Europe and Asia is carried out. The features of the traffic safety management system (SMBS) of European countries are considered. Two directions of reducing accidents are considered: automation of train traffic control based on a digital radio channel and implementation of traffic safety management as part of the railway business system.</w:t>
      </w:r>
    </w:p>
    <w:p w14:paraId="0A61F813" w14:textId="77777777" w:rsidR="00D94437" w:rsidRPr="008A47A0" w:rsidRDefault="008A47A0" w:rsidP="009A43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A47A0">
        <w:rPr>
          <w:rFonts w:ascii="Times New Roman" w:hAnsi="Times New Roman" w:cs="Times New Roman"/>
          <w:b/>
          <w:sz w:val="18"/>
          <w:szCs w:val="18"/>
          <w:lang w:val="en-US"/>
        </w:rPr>
        <w:t>Key</w:t>
      </w:r>
      <w:r w:rsidR="009A43AD" w:rsidRPr="008A47A0">
        <w:rPr>
          <w:rFonts w:ascii="Times New Roman" w:hAnsi="Times New Roman" w:cs="Times New Roman"/>
          <w:b/>
          <w:sz w:val="18"/>
          <w:szCs w:val="18"/>
          <w:lang w:val="en-US"/>
        </w:rPr>
        <w:t>words:</w:t>
      </w:r>
      <w:r w:rsidR="009A43AD" w:rsidRPr="008A47A0">
        <w:rPr>
          <w:rFonts w:ascii="Times New Roman" w:hAnsi="Times New Roman" w:cs="Times New Roman"/>
          <w:sz w:val="18"/>
          <w:szCs w:val="18"/>
          <w:lang w:val="en-US"/>
        </w:rPr>
        <w:t xml:space="preserve"> high-speed highway, accident rate, traffic safety management system, traffic control automation.</w:t>
      </w:r>
    </w:p>
    <w:p w14:paraId="6B76AD5E" w14:textId="77777777" w:rsidR="00B9556F" w:rsidRPr="00174693" w:rsidRDefault="00B9556F" w:rsidP="00D944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27" w:type="dxa"/>
        <w:tblLook w:val="01E0" w:firstRow="1" w:lastRow="1" w:firstColumn="1" w:lastColumn="1" w:noHBand="0" w:noVBand="0"/>
      </w:tblPr>
      <w:tblGrid>
        <w:gridCol w:w="3227"/>
        <w:gridCol w:w="6400"/>
      </w:tblGrid>
      <w:tr w:rsidR="00B9556F" w:rsidRPr="004F049C" w14:paraId="64E550F3" w14:textId="77777777" w:rsidTr="00B9556F">
        <w:trPr>
          <w:trHeight w:val="428"/>
        </w:trPr>
        <w:tc>
          <w:tcPr>
            <w:tcW w:w="3227" w:type="dxa"/>
          </w:tcPr>
          <w:p w14:paraId="42E5DF64" w14:textId="77777777" w:rsidR="00B9556F" w:rsidRPr="00AC253A" w:rsidRDefault="00AC253A" w:rsidP="00AC2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25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Холошев Денис Володимирович</w:t>
            </w:r>
          </w:p>
        </w:tc>
        <w:tc>
          <w:tcPr>
            <w:tcW w:w="6400" w:type="dxa"/>
          </w:tcPr>
          <w:p w14:paraId="07B7DD11" w14:textId="77777777" w:rsidR="00B9556F" w:rsidRDefault="004F049C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04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здобувач вищої освіти, гр. </w:t>
            </w:r>
            <w:r w:rsidR="00AC25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ІБ</w:t>
            </w:r>
            <w:r w:rsidRPr="004F04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ЗТ-19зм, кафедра логістичного управління та безпеки руху на транспорті, СНУ ім. В. Даля, м. Сєвєродонецьк.</w:t>
            </w:r>
          </w:p>
          <w:p w14:paraId="33A89192" w14:textId="77777777" w:rsidR="00174693" w:rsidRPr="004F049C" w:rsidRDefault="00174693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9556F" w:rsidRPr="00174693" w14:paraId="64C8357A" w14:textId="77777777" w:rsidTr="004F049C">
        <w:trPr>
          <w:trHeight w:val="187"/>
        </w:trPr>
        <w:tc>
          <w:tcPr>
            <w:tcW w:w="3227" w:type="dxa"/>
          </w:tcPr>
          <w:p w14:paraId="4C5F5BFC" w14:textId="77777777" w:rsidR="00B9556F" w:rsidRPr="00AC253A" w:rsidRDefault="00AC253A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25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Яловенко Еліна Владиславівна</w:t>
            </w:r>
          </w:p>
        </w:tc>
        <w:tc>
          <w:tcPr>
            <w:tcW w:w="6400" w:type="dxa"/>
          </w:tcPr>
          <w:p w14:paraId="0158A6FF" w14:textId="77777777" w:rsidR="00B9556F" w:rsidRDefault="004F049C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04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здобувач вищої освіти, гр. </w:t>
            </w:r>
            <w:r w:rsidR="001746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ІБ</w:t>
            </w:r>
            <w:r w:rsidRPr="004F04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ЗТ-19зм, кафедра логістичного управління та безпеки руху на транспорті, СНУ ім. В. Даля, м. Сєвєродонецьк.</w:t>
            </w:r>
          </w:p>
          <w:p w14:paraId="410B2CF3" w14:textId="77777777" w:rsidR="00174693" w:rsidRPr="004F049C" w:rsidRDefault="00174693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F049C" w:rsidRPr="00DF2E29" w14:paraId="14A8B8AB" w14:textId="77777777" w:rsidTr="004F049C">
        <w:trPr>
          <w:trHeight w:val="187"/>
        </w:trPr>
        <w:tc>
          <w:tcPr>
            <w:tcW w:w="3227" w:type="dxa"/>
          </w:tcPr>
          <w:p w14:paraId="6FB86E65" w14:textId="53520564" w:rsidR="004F049C" w:rsidRPr="004F049C" w:rsidRDefault="00DF2E29" w:rsidP="00B95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DF2E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Мірошникова Марія Володимирівна</w:t>
            </w:r>
          </w:p>
        </w:tc>
        <w:tc>
          <w:tcPr>
            <w:tcW w:w="6400" w:type="dxa"/>
          </w:tcPr>
          <w:p w14:paraId="11701A2C" w14:textId="6D800D8C" w:rsidR="004F049C" w:rsidRPr="002D442A" w:rsidRDefault="004F049C" w:rsidP="004F0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к.т.н., доцент кафедри </w:t>
            </w:r>
            <w:r w:rsidRPr="004F04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логістичного управління та безпеки руху на транспорті, СНУ ім. В.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Даля, м. </w:t>
            </w:r>
            <w:r w:rsidR="00DF2E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e-mail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2E29" w:rsidRPr="00DF2E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miroshnikova@snu.edu.ua</w:t>
            </w:r>
          </w:p>
        </w:tc>
      </w:tr>
    </w:tbl>
    <w:p w14:paraId="27C131D1" w14:textId="77777777" w:rsidR="00B9556F" w:rsidRPr="004F049C" w:rsidRDefault="00B9556F" w:rsidP="00B95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9556F" w:rsidRPr="004F049C" w:rsidSect="00485B6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21"/>
    <w:multiLevelType w:val="hybridMultilevel"/>
    <w:tmpl w:val="45C64B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09F0A33"/>
    <w:multiLevelType w:val="hybridMultilevel"/>
    <w:tmpl w:val="0BD0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614"/>
    <w:multiLevelType w:val="hybridMultilevel"/>
    <w:tmpl w:val="865E5F3C"/>
    <w:lvl w:ilvl="0" w:tplc="CFFA2166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BA04A8"/>
    <w:multiLevelType w:val="hybridMultilevel"/>
    <w:tmpl w:val="B17EBBDA"/>
    <w:lvl w:ilvl="0" w:tplc="CFFA2166">
      <w:numFmt w:val="bullet"/>
      <w:lvlText w:val="•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1E3237"/>
    <w:multiLevelType w:val="hybridMultilevel"/>
    <w:tmpl w:val="3E98C76A"/>
    <w:lvl w:ilvl="0" w:tplc="CFFA2166">
      <w:numFmt w:val="bullet"/>
      <w:lvlText w:val="•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FD"/>
    <w:rsid w:val="00025926"/>
    <w:rsid w:val="00037537"/>
    <w:rsid w:val="000459C9"/>
    <w:rsid w:val="00086CC2"/>
    <w:rsid w:val="000B601E"/>
    <w:rsid w:val="000D6D08"/>
    <w:rsid w:val="000E18AD"/>
    <w:rsid w:val="00174693"/>
    <w:rsid w:val="001C7AA3"/>
    <w:rsid w:val="00221B6B"/>
    <w:rsid w:val="0025710B"/>
    <w:rsid w:val="002A7049"/>
    <w:rsid w:val="002C4160"/>
    <w:rsid w:val="002D442A"/>
    <w:rsid w:val="00311D6E"/>
    <w:rsid w:val="003344BA"/>
    <w:rsid w:val="0039690B"/>
    <w:rsid w:val="003E474A"/>
    <w:rsid w:val="003F4F59"/>
    <w:rsid w:val="00413F64"/>
    <w:rsid w:val="00440F3D"/>
    <w:rsid w:val="00447CA7"/>
    <w:rsid w:val="00485B62"/>
    <w:rsid w:val="004A5EF4"/>
    <w:rsid w:val="004B7954"/>
    <w:rsid w:val="004B7BF1"/>
    <w:rsid w:val="004B7E81"/>
    <w:rsid w:val="004F049C"/>
    <w:rsid w:val="00590DF0"/>
    <w:rsid w:val="005A33FF"/>
    <w:rsid w:val="005E7219"/>
    <w:rsid w:val="00607C7F"/>
    <w:rsid w:val="00650CE3"/>
    <w:rsid w:val="00697B19"/>
    <w:rsid w:val="006A582C"/>
    <w:rsid w:val="006E4C83"/>
    <w:rsid w:val="006F215C"/>
    <w:rsid w:val="00741599"/>
    <w:rsid w:val="007560B4"/>
    <w:rsid w:val="007935FF"/>
    <w:rsid w:val="00795138"/>
    <w:rsid w:val="007B7335"/>
    <w:rsid w:val="007C1605"/>
    <w:rsid w:val="007E454B"/>
    <w:rsid w:val="00827194"/>
    <w:rsid w:val="00827DF6"/>
    <w:rsid w:val="00854193"/>
    <w:rsid w:val="008A47A0"/>
    <w:rsid w:val="008C5F38"/>
    <w:rsid w:val="008F4188"/>
    <w:rsid w:val="00944025"/>
    <w:rsid w:val="00944590"/>
    <w:rsid w:val="00976501"/>
    <w:rsid w:val="00983614"/>
    <w:rsid w:val="009A43AD"/>
    <w:rsid w:val="009E1440"/>
    <w:rsid w:val="00A056F4"/>
    <w:rsid w:val="00A35E57"/>
    <w:rsid w:val="00A54AC5"/>
    <w:rsid w:val="00A651CD"/>
    <w:rsid w:val="00AB0D4F"/>
    <w:rsid w:val="00AC253A"/>
    <w:rsid w:val="00AC5FFE"/>
    <w:rsid w:val="00AD6732"/>
    <w:rsid w:val="00B028FD"/>
    <w:rsid w:val="00B20725"/>
    <w:rsid w:val="00B64970"/>
    <w:rsid w:val="00B9556F"/>
    <w:rsid w:val="00BB1350"/>
    <w:rsid w:val="00BB2DF4"/>
    <w:rsid w:val="00BC25B3"/>
    <w:rsid w:val="00C3184B"/>
    <w:rsid w:val="00C335BE"/>
    <w:rsid w:val="00C76F60"/>
    <w:rsid w:val="00CA5113"/>
    <w:rsid w:val="00CA6BDE"/>
    <w:rsid w:val="00CC571C"/>
    <w:rsid w:val="00CD18C9"/>
    <w:rsid w:val="00CF392F"/>
    <w:rsid w:val="00D27114"/>
    <w:rsid w:val="00D627CB"/>
    <w:rsid w:val="00D82E0B"/>
    <w:rsid w:val="00D94437"/>
    <w:rsid w:val="00DD535A"/>
    <w:rsid w:val="00DF2E29"/>
    <w:rsid w:val="00DF5507"/>
    <w:rsid w:val="00E16E78"/>
    <w:rsid w:val="00E44E5A"/>
    <w:rsid w:val="00E5661D"/>
    <w:rsid w:val="00EA0175"/>
    <w:rsid w:val="00EA2F11"/>
    <w:rsid w:val="00EA683E"/>
    <w:rsid w:val="00EB2FD6"/>
    <w:rsid w:val="00EF2F16"/>
    <w:rsid w:val="00F20439"/>
    <w:rsid w:val="00F501C4"/>
    <w:rsid w:val="00F87541"/>
    <w:rsid w:val="00FA3D8B"/>
    <w:rsid w:val="00FB1E00"/>
    <w:rsid w:val="00FB2D7D"/>
    <w:rsid w:val="00FB6059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11ED"/>
  <w15:docId w15:val="{C564B6B1-52A5-4883-BE72-83474648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5E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1CD"/>
    <w:pPr>
      <w:ind w:left="720"/>
      <w:contextualSpacing/>
    </w:pPr>
  </w:style>
  <w:style w:type="character" w:styleId="a6">
    <w:name w:val="Hyperlink"/>
    <w:basedOn w:val="a0"/>
    <w:unhideWhenUsed/>
    <w:rsid w:val="00A651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7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incontent">
    <w:name w:val="trin_content"/>
    <w:basedOn w:val="a0"/>
    <w:rsid w:val="00D27114"/>
  </w:style>
  <w:style w:type="character" w:styleId="a8">
    <w:name w:val="FollowedHyperlink"/>
    <w:basedOn w:val="a0"/>
    <w:uiPriority w:val="99"/>
    <w:semiHidden/>
    <w:unhideWhenUsed/>
    <w:rsid w:val="005A3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it.ooo/ua/prospects-for-the-development-of-high-speed-railways-the-railways-of-ukraine-part-1" TargetMode="External"/><Relationship Id="rId5" Type="http://schemas.openxmlformats.org/officeDocument/2006/relationships/hyperlink" Target="http://www.eav.ru/publ1.php?publid=2008-13a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7257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Клюєв Сергій Олександрович</cp:lastModifiedBy>
  <cp:revision>6</cp:revision>
  <dcterms:created xsi:type="dcterms:W3CDTF">2021-10-14T11:50:00Z</dcterms:created>
  <dcterms:modified xsi:type="dcterms:W3CDTF">2023-12-31T14:37:00Z</dcterms:modified>
</cp:coreProperties>
</file>